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 w:line="240" w:lineRule="auto"/>
        <w:ind w:left="0" w:right="0" w:firstLine="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Style w:val="Title"/>
        <w:ind w:firstLine="874"/>
        <w:rPr/>
      </w:pPr>
      <w:r w:rsidDel="00000000" w:rsidR="00000000" w:rsidRPr="00000000">
        <w:rPr>
          <w:rtl w:val="0"/>
        </w:rPr>
        <w:t xml:space="preserve">Joint Schedule 7 (Financial Difficulties)</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1"/>
        <w:tblW w:w="8027.0" w:type="dxa"/>
        <w:jc w:val="left"/>
        <w:tblInd w:w="136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77"/>
        <w:gridCol w:w="1671"/>
        <w:gridCol w:w="4397"/>
        <w:gridCol w:w="1282"/>
        <w:tblGridChange w:id="0">
          <w:tblGrid>
            <w:gridCol w:w="677"/>
            <w:gridCol w:w="1671"/>
            <w:gridCol w:w="4397"/>
            <w:gridCol w:w="1282"/>
          </w:tblGrid>
        </w:tblGridChange>
      </w:tblGrid>
      <w:tr>
        <w:trPr>
          <w:cantSplit w:val="0"/>
          <w:trHeight w:val="256" w:hRule="atLeast"/>
          <w:tblHeader w:val="0"/>
        </w:trPr>
        <w:tc>
          <w:tcPr>
            <w:gridSpan w:val="4"/>
            <w:shd w:fill="bebebe" w:val="clear"/>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6" w:lineRule="auto"/>
              <w:ind w:left="112" w:right="0" w:firstLine="0"/>
              <w:jc w:val="left"/>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Document Management</w:t>
            </w:r>
          </w:p>
        </w:tc>
      </w:tr>
      <w:tr>
        <w:trPr>
          <w:cantSplit w:val="0"/>
          <w:trHeight w:val="256" w:hRule="atLeast"/>
          <w:tblHeader w:val="0"/>
        </w:trPr>
        <w:tc>
          <w:tcPr>
            <w:shd w:fill="bebebe" w:val="clea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45" w:right="164"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Ver</w:t>
            </w:r>
          </w:p>
        </w:tc>
        <w:tc>
          <w:tcPr>
            <w:shd w:fill="bebebe" w:val="clear"/>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09"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Date</w:t>
            </w:r>
          </w:p>
        </w:tc>
        <w:tc>
          <w:tcPr>
            <w:shd w:fill="bebebe" w:val="clea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Version</w:t>
            </w:r>
          </w:p>
        </w:tc>
        <w:tc>
          <w:tcPr>
            <w:shd w:fill="bebebe" w:val="clea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w:t>
            </w:r>
          </w:p>
        </w:tc>
      </w:tr>
      <w:tr>
        <w:trPr>
          <w:cantSplit w:val="0"/>
          <w:trHeight w:val="496" w:hRule="atLeast"/>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0" w:right="164"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0.1</w:t>
            </w:r>
          </w:p>
        </w:tc>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0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July 2023</w:t>
            </w:r>
          </w:p>
        </w:tc>
        <w:tc>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SQ Stage Version</w:t>
            </w:r>
          </w:p>
        </w:tc>
        <w:tc>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CCS</w:t>
            </w:r>
          </w:p>
        </w:tc>
      </w:tr>
      <w:tr>
        <w:trPr>
          <w:cantSplit w:val="0"/>
          <w:trHeight w:val="498" w:hRule="atLeast"/>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0" w:right="164"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0.2</w:t>
            </w:r>
          </w:p>
        </w:tc>
        <w:tc>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0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August 2023</w:t>
            </w:r>
          </w:p>
        </w:tc>
        <w:tc>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Dialogue Stage Version</w:t>
            </w:r>
          </w:p>
        </w:tc>
        <w:tc>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CCS</w:t>
            </w:r>
          </w:p>
        </w:tc>
      </w:tr>
      <w:tr>
        <w:trPr>
          <w:cantSplit w:val="0"/>
          <w:trHeight w:val="499" w:hRule="atLeast"/>
          <w:tblHeader w:val="0"/>
        </w:trPr>
        <w:tc>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0" w:right="164"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0.3</w:t>
            </w:r>
          </w:p>
        </w:tc>
        <w:tc>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0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October 2023</w:t>
            </w:r>
          </w:p>
        </w:tc>
        <w:tc>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Initial Tender Stage Version</w:t>
            </w:r>
          </w:p>
        </w:tc>
        <w:tc>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CCS</w:t>
            </w:r>
          </w:p>
        </w:tc>
      </w:tr>
      <w:tr>
        <w:trPr>
          <w:cantSplit w:val="0"/>
          <w:trHeight w:val="688" w:hRule="atLeast"/>
          <w:tblHeader w:val="0"/>
        </w:trPr>
        <w:tc>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0" w:right="164"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0.4</w:t>
            </w:r>
          </w:p>
        </w:tc>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0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November 2023</w:t>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Final Tender Stage Version</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114" w:right="898" w:hanging="3.000000000000007"/>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(No changes from Initial Tender Stage Version)</w:t>
            </w:r>
          </w:p>
        </w:tc>
        <w:tc>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CCS</w:t>
            </w:r>
          </w:p>
        </w:tc>
      </w:tr>
      <w:tr>
        <w:trPr>
          <w:cantSplit w:val="0"/>
          <w:trHeight w:val="498" w:hRule="atLeast"/>
          <w:tblHeader w:val="0"/>
        </w:trPr>
        <w:tc>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0" w:right="164"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1.0</w:t>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0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February 2024</w:t>
            </w:r>
          </w:p>
        </w:tc>
        <w:tc>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Award Version</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(No changes from Final Tender Stage Version)</w:t>
            </w:r>
          </w:p>
        </w:tc>
        <w:tc>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CCS</w:t>
            </w:r>
          </w:p>
        </w:tc>
      </w:tr>
      <w:tr>
        <w:trPr>
          <w:cantSplit w:val="0"/>
          <w:trHeight w:val="498" w:hRule="atLeast"/>
          <w:tblHeader w:val="0"/>
        </w:trPr>
        <w:tc>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0" w:right="164"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1.1</w:t>
            </w:r>
          </w:p>
        </w:tc>
        <w:tc>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571" w:hanging="3.000000000000007"/>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September 2024</w:t>
            </w:r>
          </w:p>
        </w:tc>
        <w:tc>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Variation 1 Version</w:t>
            </w:r>
          </w:p>
        </w:tc>
        <w:tc>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11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CCS</w:t>
            </w:r>
          </w:p>
        </w:tc>
      </w:tr>
    </w:tbl>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0" w:right="0" w:firstLine="0"/>
        <w:jc w:val="left"/>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2D">
      <w:pPr>
        <w:spacing w:before="1" w:lineRule="auto"/>
        <w:ind w:left="874" w:right="0" w:firstLine="0"/>
        <w:jc w:val="left"/>
        <w:rPr>
          <w:b w:val="1"/>
          <w:i w:val="1"/>
          <w:sz w:val="21"/>
          <w:szCs w:val="21"/>
        </w:rPr>
        <w:sectPr>
          <w:headerReference r:id="rId7" w:type="default"/>
          <w:footerReference r:id="rId8" w:type="default"/>
          <w:pgSz w:h="16840" w:w="11910" w:orient="portrait"/>
          <w:pgMar w:bottom="1780" w:top="1340" w:left="566" w:right="1417" w:header="715" w:footer="1580"/>
          <w:pgNumType w:start="1"/>
        </w:sectPr>
      </w:pPr>
      <w:r w:rsidDel="00000000" w:rsidR="00000000" w:rsidRPr="00000000">
        <w:rPr>
          <w:b w:val="1"/>
          <w:i w:val="1"/>
          <w:sz w:val="21"/>
          <w:szCs w:val="21"/>
          <w:rtl w:val="0"/>
        </w:rPr>
        <w:t xml:space="preserve">What the Supplier must do if they are in financial trouble.</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2" w:right="104" w:hanging="72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This Schedule provides CCS and the Buyer with the option of using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Credit Ratings and/or Financial Indicators for the purposes of the 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Provisions. Buyers may use any combination of these indicators to suit their own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requirements subject to the detailed guidance below.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 note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pStyle w:val="Heading1"/>
        <w:numPr>
          <w:ilvl w:val="0"/>
          <w:numId w:val="3"/>
        </w:numPr>
        <w:tabs>
          <w:tab w:val="left" w:leader="none" w:pos="1232"/>
        </w:tabs>
        <w:spacing w:after="0" w:before="0" w:line="240" w:lineRule="auto"/>
        <w:ind w:left="1232" w:right="0" w:hanging="358"/>
        <w:jc w:val="left"/>
        <w:rPr/>
      </w:pPr>
      <w:r w:rsidDel="00000000" w:rsidR="00000000" w:rsidRPr="00000000">
        <w:rPr>
          <w:rtl w:val="0"/>
        </w:rPr>
        <w:t xml:space="preserve">Definitions</w:t>
      </w:r>
    </w:p>
    <w:p w:rsidR="00000000" w:rsidDel="00000000" w:rsidP="00000000" w:rsidRDefault="00000000" w:rsidRPr="00000000" w14:paraId="00000033">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10"/>
        </w:tabs>
        <w:spacing w:after="0" w:before="240" w:line="240" w:lineRule="auto"/>
        <w:ind w:left="181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Joint Schedule 7, the following definitions shall apply:</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2"/>
        <w:tblW w:w="8658.0" w:type="dxa"/>
        <w:jc w:val="left"/>
        <w:tblInd w:w="124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05"/>
        <w:gridCol w:w="5953"/>
        <w:tblGridChange w:id="0">
          <w:tblGrid>
            <w:gridCol w:w="2705"/>
            <w:gridCol w:w="5953"/>
          </w:tblGrid>
        </w:tblGridChange>
      </w:tblGrid>
      <w:tr>
        <w:trPr>
          <w:cantSplit w:val="0"/>
          <w:trHeight w:val="1344" w:hRule="atLeast"/>
          <w:tblHeader w:val="0"/>
        </w:trPr>
        <w:tc>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5" w:right="172" w:hanging="3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23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5.1 of this Joint Schedule 7 which are to apply to the Monitored Suppliers as set out in Paragraph 5.2 of this Joint Schedule 7;</w:t>
            </w:r>
          </w:p>
        </w:tc>
      </w:tr>
      <w:tr>
        <w:trPr>
          <w:cantSplit w:val="0"/>
          <w:trHeight w:val="515" w:hRule="atLeast"/>
          <w:tblHeader w:val="0"/>
        </w:trPr>
        <w:tc>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7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rHeight w:val="1067" w:hRule="atLeast"/>
          <w:tblHeader w:val="0"/>
        </w:trPr>
        <w:tc>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Confirmation”</w:t>
            </w:r>
          </w:p>
        </w:tc>
        <w:tc>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5" w:right="23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Joint Schedule 7;</w:t>
            </w:r>
          </w:p>
        </w:tc>
      </w:tr>
      <w:tr>
        <w:trPr>
          <w:cantSplit w:val="0"/>
          <w:trHeight w:val="1343" w:hRule="atLeast"/>
          <w:tblHeader w:val="0"/>
        </w:trPr>
        <w:tc>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5" w:right="182" w:hanging="3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5" w:right="23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rHeight w:val="1069" w:hRule="atLeast"/>
          <w:tblHeader w:val="0"/>
        </w:trPr>
        <w:tc>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115" w:right="0" w:hanging="3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115" w:right="23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Joint Schedule 7;</w:t>
            </w:r>
          </w:p>
        </w:tc>
      </w:tr>
      <w:tr>
        <w:trPr>
          <w:cantSplit w:val="0"/>
          <w:trHeight w:val="791" w:hRule="atLeast"/>
          <w:tblHeader w:val="0"/>
        </w:trPr>
        <w:tc>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7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5" w:right="23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 Key Sub-contractors, the Guarantor and the Monitored Suppliers;</w:t>
            </w:r>
          </w:p>
        </w:tc>
      </w:tr>
      <w:tr>
        <w:trPr>
          <w:cantSplit w:val="0"/>
          <w:trHeight w:val="791" w:hRule="atLeast"/>
          <w:tblHeader w:val="0"/>
        </w:trPr>
        <w:tc>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5" w:right="438" w:hanging="3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5" w:right="23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Joint Schedule 7;</w:t>
            </w:r>
          </w:p>
        </w:tc>
      </w:tr>
      <w:tr>
        <w:trPr>
          <w:cantSplit w:val="0"/>
          <w:trHeight w:val="1344" w:hRule="atLeast"/>
          <w:tblHeader w:val="0"/>
        </w:trPr>
        <w:tc>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5" w:right="438" w:hanging="3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5" w:right="23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rHeight w:val="1619" w:hRule="atLeast"/>
          <w:tblHeader w:val="0"/>
        </w:trPr>
        <w:tc>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7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5" w:right="9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Joint Schedule 7 and in respect of each Monitored Supplier, means those Applicable Financial Indicators;</w:t>
            </w:r>
          </w:p>
        </w:tc>
      </w:tr>
    </w:tbl>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40" w:top="1340" w:left="566" w:right="1417" w:header="715" w:footer="1580"/>
        </w:sect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7"/>
          <w:szCs w:val="7"/>
          <w:u w:val="none"/>
          <w:shd w:fill="auto" w:val="clear"/>
          <w:vertAlign w:val="baseline"/>
        </w:rPr>
      </w:pPr>
      <w:r w:rsidDel="00000000" w:rsidR="00000000" w:rsidRPr="00000000">
        <w:rPr>
          <w:rtl w:val="0"/>
        </w:rPr>
      </w:r>
    </w:p>
    <w:tbl>
      <w:tblPr>
        <w:tblStyle w:val="Table3"/>
        <w:tblW w:w="8658.0" w:type="dxa"/>
        <w:jc w:val="left"/>
        <w:tblInd w:w="124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05"/>
        <w:gridCol w:w="5953"/>
        <w:tblGridChange w:id="0">
          <w:tblGrid>
            <w:gridCol w:w="2705"/>
            <w:gridCol w:w="5953"/>
          </w:tblGrid>
        </w:tblGridChange>
      </w:tblGrid>
      <w:tr>
        <w:trPr>
          <w:cantSplit w:val="0"/>
          <w:trHeight w:val="1068" w:hRule="atLeast"/>
          <w:tblHeader w:val="0"/>
        </w:trPr>
        <w:tc>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5" w:right="0" w:hanging="3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Joint Schedule 7;</w:t>
            </w:r>
          </w:p>
        </w:tc>
      </w:tr>
      <w:tr>
        <w:trPr>
          <w:cantSplit w:val="0"/>
          <w:trHeight w:val="791" w:hRule="atLeast"/>
          <w:tblHeader w:val="0"/>
        </w:trPr>
        <w:tc>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5" w:right="182" w:hanging="3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5" w:right="23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Joint Schedule 7;</w:t>
            </w:r>
          </w:p>
        </w:tc>
      </w:tr>
      <w:tr>
        <w:trPr>
          <w:cantSplit w:val="0"/>
          <w:trHeight w:val="791" w:hRule="atLeast"/>
          <w:tblHeader w:val="0"/>
        </w:trPr>
        <w:tc>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7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15" w:right="23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Joint Schedule 7;</w:t>
            </w:r>
          </w:p>
        </w:tc>
      </w:tr>
      <w:tr>
        <w:trPr>
          <w:cantSplit w:val="0"/>
          <w:trHeight w:val="1070" w:hRule="atLeast"/>
          <w:tblHeader w:val="0"/>
        </w:trPr>
        <w:tc>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7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1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Crown</w:t>
              </w:r>
            </w:hyperlink>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 </w:t>
            </w:r>
            <w:hyperlink r:id="rId10">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Representatives and strategic suppliers - GOV.UK</w:t>
              </w:r>
            </w:hyperlink>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 </w:t>
            </w:r>
            <w:hyperlink r:id="rId11">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(www.gov.uk)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53">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10"/>
        </w:tabs>
        <w:spacing w:after="0" w:before="122" w:line="240" w:lineRule="auto"/>
        <w:ind w:left="1810" w:right="309"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Joint Schedule 7 in relation to the assessment of the financial standing of the FDE Group and the consequences of a change to that financial standing.</w:t>
      </w:r>
    </w:p>
    <w:p w:rsidR="00000000" w:rsidDel="00000000" w:rsidP="00000000" w:rsidRDefault="00000000" w:rsidRPr="00000000" w14:paraId="00000054">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10"/>
        </w:tabs>
        <w:spacing w:after="0" w:before="120" w:line="240" w:lineRule="auto"/>
        <w:ind w:left="181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Joint Schedule 7 shall survive:</w:t>
      </w:r>
    </w:p>
    <w:p w:rsidR="00000000" w:rsidDel="00000000" w:rsidP="00000000" w:rsidRDefault="00000000" w:rsidRPr="00000000" w14:paraId="00000055">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18"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56">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24"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pStyle w:val="Heading1"/>
        <w:numPr>
          <w:ilvl w:val="0"/>
          <w:numId w:val="3"/>
        </w:numPr>
        <w:tabs>
          <w:tab w:val="left" w:leader="none" w:pos="1232"/>
        </w:tabs>
        <w:spacing w:after="0" w:before="0" w:line="240" w:lineRule="auto"/>
        <w:ind w:left="1232" w:right="0" w:hanging="358"/>
        <w:jc w:val="left"/>
        <w:rPr/>
      </w:pPr>
      <w:r w:rsidDel="00000000" w:rsidR="00000000" w:rsidRPr="00000000">
        <w:rPr>
          <w:rtl w:val="0"/>
        </w:rPr>
        <w:t xml:space="preserve">Warranties and duty to notify</w:t>
      </w:r>
    </w:p>
    <w:p w:rsidR="00000000" w:rsidDel="00000000" w:rsidP="00000000" w:rsidRDefault="00000000" w:rsidRPr="00000000" w14:paraId="00000059">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08"/>
          <w:tab w:val="left" w:leader="none" w:pos="1810"/>
        </w:tabs>
        <w:spacing w:after="0" w:before="240" w:line="240" w:lineRule="auto"/>
        <w:ind w:left="1810" w:right="659"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5A">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1" w:line="240" w:lineRule="auto"/>
        <w:ind w:left="2859" w:right="22"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Joint Schedule 7; and</w:t>
      </w:r>
    </w:p>
    <w:p w:rsidR="00000000" w:rsidDel="00000000" w:rsidP="00000000" w:rsidRDefault="00000000" w:rsidRPr="00000000" w14:paraId="0000005B">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17"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5C">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10"/>
        </w:tabs>
        <w:spacing w:after="0" w:before="120" w:line="240" w:lineRule="auto"/>
        <w:ind w:left="1810" w:right="84"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five (5) Working Days of the occurrence of the downgrade).</w:t>
      </w:r>
    </w:p>
    <w:p w:rsidR="00000000" w:rsidDel="00000000" w:rsidP="00000000" w:rsidRDefault="00000000" w:rsidRPr="00000000" w14:paraId="0000005D">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10"/>
        </w:tabs>
        <w:spacing w:after="0" w:before="118" w:line="240" w:lineRule="auto"/>
        <w:ind w:left="181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E">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9"/>
        </w:tabs>
        <w:spacing w:after="0" w:before="120" w:line="240" w:lineRule="auto"/>
        <w:ind w:left="2859" w:right="24" w:hanging="991.9999999999999"/>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40" w:top="1340" w:left="566" w:right="1417" w:header="715" w:footer="158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5F">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82" w:line="240" w:lineRule="auto"/>
        <w:ind w:left="2859" w:right="2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60">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19"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ten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61">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10"/>
        </w:tabs>
        <w:spacing w:after="0" w:before="121" w:line="240" w:lineRule="auto"/>
        <w:ind w:left="1810" w:right="59"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62">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10"/>
        </w:tabs>
        <w:spacing w:after="0" w:before="120" w:line="240" w:lineRule="auto"/>
        <w:ind w:left="181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63">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24"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64">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26"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65">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1" w:line="240" w:lineRule="auto"/>
        <w:ind w:left="2859" w:right="26"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66">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18"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67">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23"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68">
      <w:pPr>
        <w:pStyle w:val="Heading1"/>
        <w:numPr>
          <w:ilvl w:val="0"/>
          <w:numId w:val="3"/>
        </w:numPr>
        <w:tabs>
          <w:tab w:val="left" w:leader="none" w:pos="1232"/>
        </w:tabs>
        <w:spacing w:after="0" w:before="120" w:line="240" w:lineRule="auto"/>
        <w:ind w:left="1232" w:right="0" w:hanging="358"/>
        <w:jc w:val="both"/>
        <w:rPr/>
      </w:pPr>
      <w:r w:rsidDel="00000000" w:rsidR="00000000" w:rsidRPr="00000000">
        <w:rPr>
          <w:rtl w:val="0"/>
        </w:rPr>
        <w:t xml:space="preserve">Financial Distress events</w:t>
      </w:r>
    </w:p>
    <w:p w:rsidR="00000000" w:rsidDel="00000000" w:rsidP="00000000" w:rsidRDefault="00000000" w:rsidRPr="00000000" w14:paraId="00000069">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08"/>
        </w:tabs>
        <w:spacing w:after="0" w:before="241" w:line="240" w:lineRule="auto"/>
        <w:ind w:left="1808" w:right="0" w:hanging="57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6A">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26"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6B">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25" w:hanging="991.9999999999999"/>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40" w:top="1340" w:left="566" w:right="1417" w:header="715" w:footer="158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6C">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82" w:line="240" w:lineRule="auto"/>
        <w:ind w:left="2859" w:right="27"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6D">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27"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6E">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25"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6F">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7"/>
        </w:tabs>
        <w:spacing w:after="0" w:before="120" w:line="240" w:lineRule="auto"/>
        <w:ind w:left="2857" w:right="0" w:hanging="98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70">
      <w:pPr>
        <w:keepNext w:val="0"/>
        <w:keepLines w:val="0"/>
        <w:pageBreakBefore w:val="0"/>
        <w:widowControl w:val="0"/>
        <w:numPr>
          <w:ilvl w:val="3"/>
          <w:numId w:val="3"/>
        </w:numPr>
        <w:pBdr>
          <w:top w:space="0" w:sz="0" w:val="nil"/>
          <w:left w:space="0" w:sz="0" w:val="nil"/>
          <w:bottom w:space="0" w:sz="0" w:val="nil"/>
          <w:right w:space="0" w:sz="0" w:val="nil"/>
          <w:between w:space="0" w:sz="0" w:val="nil"/>
        </w:pBdr>
        <w:shd w:fill="auto" w:val="clear"/>
        <w:tabs>
          <w:tab w:val="left" w:leader="none" w:pos="4278"/>
        </w:tabs>
        <w:spacing w:after="0" w:before="120" w:line="240" w:lineRule="auto"/>
        <w:ind w:left="4278" w:right="22"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w:t>
      </w:r>
    </w:p>
    <w:p w:rsidR="00000000" w:rsidDel="00000000" w:rsidP="00000000" w:rsidRDefault="00000000" w:rsidRPr="00000000" w14:paraId="00000071">
      <w:pPr>
        <w:keepNext w:val="0"/>
        <w:keepLines w:val="0"/>
        <w:pageBreakBefore w:val="0"/>
        <w:widowControl w:val="0"/>
        <w:numPr>
          <w:ilvl w:val="3"/>
          <w:numId w:val="3"/>
        </w:numPr>
        <w:pBdr>
          <w:top w:space="0" w:sz="0" w:val="nil"/>
          <w:left w:space="0" w:sz="0" w:val="nil"/>
          <w:bottom w:space="0" w:sz="0" w:val="nil"/>
          <w:right w:space="0" w:sz="0" w:val="nil"/>
          <w:between w:space="0" w:sz="0" w:val="nil"/>
        </w:pBdr>
        <w:shd w:fill="auto" w:val="clear"/>
        <w:tabs>
          <w:tab w:val="left" w:leader="none" w:pos="4278"/>
        </w:tabs>
        <w:spacing w:after="0" w:before="121" w:line="240" w:lineRule="auto"/>
        <w:ind w:left="4278" w:right="21"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72">
      <w:pPr>
        <w:keepNext w:val="0"/>
        <w:keepLines w:val="0"/>
        <w:pageBreakBefore w:val="0"/>
        <w:widowControl w:val="0"/>
        <w:numPr>
          <w:ilvl w:val="3"/>
          <w:numId w:val="3"/>
        </w:numPr>
        <w:pBdr>
          <w:top w:space="0" w:sz="0" w:val="nil"/>
          <w:left w:space="0" w:sz="0" w:val="nil"/>
          <w:bottom w:space="0" w:sz="0" w:val="nil"/>
          <w:right w:space="0" w:sz="0" w:val="nil"/>
          <w:between w:space="0" w:sz="0" w:val="nil"/>
        </w:pBdr>
        <w:shd w:fill="auto" w:val="clear"/>
        <w:tabs>
          <w:tab w:val="left" w:leader="none" w:pos="4278"/>
        </w:tabs>
        <w:spacing w:after="0" w:before="120" w:line="240" w:lineRule="auto"/>
        <w:ind w:left="4278" w:right="23"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73">
      <w:pPr>
        <w:keepNext w:val="0"/>
        <w:keepLines w:val="0"/>
        <w:pageBreakBefore w:val="0"/>
        <w:widowControl w:val="0"/>
        <w:numPr>
          <w:ilvl w:val="3"/>
          <w:numId w:val="3"/>
        </w:numPr>
        <w:pBdr>
          <w:top w:space="0" w:sz="0" w:val="nil"/>
          <w:left w:space="0" w:sz="0" w:val="nil"/>
          <w:bottom w:space="0" w:sz="0" w:val="nil"/>
          <w:right w:space="0" w:sz="0" w:val="nil"/>
          <w:between w:space="0" w:sz="0" w:val="nil"/>
        </w:pBdr>
        <w:shd w:fill="auto" w:val="clear"/>
        <w:tabs>
          <w:tab w:val="left" w:leader="none" w:pos="4278"/>
        </w:tabs>
        <w:spacing w:after="0" w:before="120" w:line="240" w:lineRule="auto"/>
        <w:ind w:left="4278" w:right="22"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74">
      <w:pPr>
        <w:keepNext w:val="0"/>
        <w:keepLines w:val="0"/>
        <w:pageBreakBefore w:val="0"/>
        <w:widowControl w:val="0"/>
        <w:numPr>
          <w:ilvl w:val="3"/>
          <w:numId w:val="3"/>
        </w:numPr>
        <w:pBdr>
          <w:top w:space="0" w:sz="0" w:val="nil"/>
          <w:left w:space="0" w:sz="0" w:val="nil"/>
          <w:bottom w:space="0" w:sz="0" w:val="nil"/>
          <w:right w:space="0" w:sz="0" w:val="nil"/>
          <w:between w:space="0" w:sz="0" w:val="nil"/>
        </w:pBdr>
        <w:shd w:fill="auto" w:val="clear"/>
        <w:tabs>
          <w:tab w:val="left" w:leader="none" w:pos="4278"/>
        </w:tabs>
        <w:spacing w:after="0" w:before="120" w:line="240" w:lineRule="auto"/>
        <w:ind w:left="4278" w:right="18"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Group entity;</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3342" w:right="23" w:hanging="720.999999999999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76">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25"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(1) of the Financial Indicators set out at Paragraph 5 for any of the FDE Group entities failing to meet the required Financial Target Threshold.</w:t>
      </w:r>
    </w:p>
    <w:p w:rsidR="00000000" w:rsidDel="00000000" w:rsidP="00000000" w:rsidRDefault="00000000" w:rsidRPr="00000000" w14:paraId="00000077">
      <w:pPr>
        <w:pStyle w:val="Heading1"/>
        <w:numPr>
          <w:ilvl w:val="0"/>
          <w:numId w:val="3"/>
        </w:numPr>
        <w:tabs>
          <w:tab w:val="left" w:leader="none" w:pos="1232"/>
        </w:tabs>
        <w:spacing w:after="0" w:before="120" w:line="240" w:lineRule="auto"/>
        <w:ind w:left="1232" w:right="0" w:hanging="358"/>
        <w:jc w:val="both"/>
        <w:rPr/>
      </w:pPr>
      <w:r w:rsidDel="00000000" w:rsidR="00000000" w:rsidRPr="00000000">
        <w:rPr>
          <w:rtl w:val="0"/>
        </w:rPr>
        <w:t xml:space="preserve">Consequences of Financial Distress Events</w:t>
      </w:r>
    </w:p>
    <w:p w:rsidR="00000000" w:rsidDel="00000000" w:rsidP="00000000" w:rsidRDefault="00000000" w:rsidRPr="00000000" w14:paraId="00000078">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10"/>
        </w:tabs>
        <w:spacing w:after="0" w:before="240" w:line="240" w:lineRule="auto"/>
        <w:ind w:left="1810" w:right="31"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79">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08"/>
          <w:tab w:val="left" w:leader="none" w:pos="1810"/>
        </w:tabs>
        <w:spacing w:after="0" w:before="121" w:line="240" w:lineRule="auto"/>
        <w:ind w:left="1810" w:right="299"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ten (10) Working Days to:</w:t>
      </w:r>
    </w:p>
    <w:p w:rsidR="00000000" w:rsidDel="00000000" w:rsidP="00000000" w:rsidRDefault="00000000" w:rsidRPr="00000000" w14:paraId="0000007A">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7"/>
        </w:tabs>
        <w:spacing w:after="0" w:before="120" w:line="240" w:lineRule="auto"/>
        <w:ind w:left="2857" w:right="0" w:hanging="989"/>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40" w:top="1340" w:left="566" w:right="1417" w:header="715" w:footer="158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7B">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82" w:line="240" w:lineRule="auto"/>
        <w:ind w:left="2859" w:right="26"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7C">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08"/>
          <w:tab w:val="left" w:leader="none" w:pos="1810"/>
        </w:tabs>
        <w:spacing w:after="0" w:before="120" w:line="240" w:lineRule="auto"/>
        <w:ind w:left="1810" w:right="735"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7D">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21"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three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7E">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1" w:line="240" w:lineRule="auto"/>
        <w:ind w:left="2859" w:right="24"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7F">
      <w:pPr>
        <w:keepNext w:val="0"/>
        <w:keepLines w:val="0"/>
        <w:pageBreakBefore w:val="0"/>
        <w:widowControl w:val="0"/>
        <w:numPr>
          <w:ilvl w:val="3"/>
          <w:numId w:val="3"/>
        </w:numPr>
        <w:pBdr>
          <w:top w:space="0" w:sz="0" w:val="nil"/>
          <w:left w:space="0" w:sz="0" w:val="nil"/>
          <w:bottom w:space="0" w:sz="0" w:val="nil"/>
          <w:right w:space="0" w:sz="0" w:val="nil"/>
          <w:between w:space="0" w:sz="0" w:val="nil"/>
        </w:pBdr>
        <w:shd w:fill="auto" w:val="clear"/>
        <w:tabs>
          <w:tab w:val="left" w:leader="none" w:pos="4278"/>
        </w:tabs>
        <w:spacing w:after="0" w:before="120" w:line="240" w:lineRule="auto"/>
        <w:ind w:left="4278" w:right="19" w:hanging="935.999999999999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ten</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78" w:right="2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81">
      <w:pPr>
        <w:keepNext w:val="0"/>
        <w:keepLines w:val="0"/>
        <w:pageBreakBefore w:val="0"/>
        <w:widowControl w:val="0"/>
        <w:numPr>
          <w:ilvl w:val="3"/>
          <w:numId w:val="3"/>
        </w:numPr>
        <w:pBdr>
          <w:top w:space="0" w:sz="0" w:val="nil"/>
          <w:left w:space="0" w:sz="0" w:val="nil"/>
          <w:bottom w:space="0" w:sz="0" w:val="nil"/>
          <w:right w:space="0" w:sz="0" w:val="nil"/>
          <w:between w:space="0" w:sz="0" w:val="nil"/>
        </w:pBdr>
        <w:shd w:fill="auto" w:val="clear"/>
        <w:tabs>
          <w:tab w:val="left" w:leader="none" w:pos="4278"/>
        </w:tabs>
        <w:spacing w:after="0" w:before="120" w:line="240" w:lineRule="auto"/>
        <w:ind w:left="4278" w:right="15" w:hanging="935.999999999999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82">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10"/>
        </w:tabs>
        <w:spacing w:after="0" w:before="121" w:line="240" w:lineRule="auto"/>
        <w:ind w:left="1810" w:right="97"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five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83">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10"/>
        </w:tabs>
        <w:spacing w:after="0" w:before="121" w:line="240" w:lineRule="auto"/>
        <w:ind w:left="1810" w:right="73" w:hanging="576"/>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780" w:top="1340" w:left="566" w:right="1417" w:header="715" w:footer="158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40" w:lineRule="auto"/>
        <w:ind w:left="1810" w:right="10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85">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10"/>
        </w:tabs>
        <w:spacing w:after="0" w:before="120" w:line="240" w:lineRule="auto"/>
        <w:ind w:left="1810" w:right="804"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86">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9"/>
        </w:tabs>
        <w:spacing w:after="0" w:before="120" w:line="240" w:lineRule="auto"/>
        <w:ind w:left="2859" w:right="0" w:hanging="99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87">
      <w:pPr>
        <w:keepNext w:val="0"/>
        <w:keepLines w:val="0"/>
        <w:pageBreakBefore w:val="0"/>
        <w:widowControl w:val="0"/>
        <w:numPr>
          <w:ilvl w:val="3"/>
          <w:numId w:val="3"/>
        </w:numPr>
        <w:pBdr>
          <w:top w:space="0" w:sz="0" w:val="nil"/>
          <w:left w:space="0" w:sz="0" w:val="nil"/>
          <w:bottom w:space="0" w:sz="0" w:val="nil"/>
          <w:right w:space="0" w:sz="0" w:val="nil"/>
          <w:between w:space="0" w:sz="0" w:val="nil"/>
        </w:pBdr>
        <w:shd w:fill="auto" w:val="clear"/>
        <w:tabs>
          <w:tab w:val="left" w:leader="none" w:pos="4278"/>
        </w:tabs>
        <w:spacing w:after="0" w:before="120" w:line="240" w:lineRule="auto"/>
        <w:ind w:left="4278" w:right="21" w:hanging="935.999999999999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88">
      <w:pPr>
        <w:keepNext w:val="0"/>
        <w:keepLines w:val="0"/>
        <w:pageBreakBefore w:val="0"/>
        <w:widowControl w:val="0"/>
        <w:numPr>
          <w:ilvl w:val="3"/>
          <w:numId w:val="3"/>
        </w:numPr>
        <w:pBdr>
          <w:top w:space="0" w:sz="0" w:val="nil"/>
          <w:left w:space="0" w:sz="0" w:val="nil"/>
          <w:bottom w:space="0" w:sz="0" w:val="nil"/>
          <w:right w:space="0" w:sz="0" w:val="nil"/>
          <w:between w:space="0" w:sz="0" w:val="nil"/>
        </w:pBdr>
        <w:shd w:fill="auto" w:val="clear"/>
        <w:tabs>
          <w:tab w:val="left" w:leader="none" w:pos="4278"/>
        </w:tabs>
        <w:spacing w:after="0" w:before="121" w:line="240" w:lineRule="auto"/>
        <w:ind w:left="4278" w:right="19" w:hanging="935.999999999999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89">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3293"/>
          <w:tab w:val="left" w:leader="none" w:pos="3296"/>
        </w:tabs>
        <w:spacing w:after="0" w:before="120" w:line="240" w:lineRule="auto"/>
        <w:ind w:left="3296" w:right="22" w:hanging="721.000000000000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8A">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3293"/>
          <w:tab w:val="left" w:leader="none" w:pos="3296"/>
        </w:tabs>
        <w:spacing w:after="0" w:before="121" w:line="240" w:lineRule="auto"/>
        <w:ind w:left="3296" w:right="23" w:hanging="721.000000000000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8B">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10"/>
        </w:tabs>
        <w:spacing w:after="0" w:before="120" w:line="240" w:lineRule="auto"/>
        <w:ind w:left="1810" w:right="93"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8C">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10"/>
        </w:tabs>
        <w:spacing w:after="0" w:before="121" w:line="240" w:lineRule="auto"/>
        <w:ind w:left="1810" w:right="46"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8D">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17" w:hanging="991.9999999999999"/>
        <w:jc w:val="both"/>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40" w:top="1340" w:left="566" w:right="1417" w:header="715" w:footer="158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8E">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82" w:line="240" w:lineRule="auto"/>
        <w:ind w:left="2859" w:right="15"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 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8F">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18"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90">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25"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91">
      <w:pPr>
        <w:pStyle w:val="Heading1"/>
        <w:numPr>
          <w:ilvl w:val="0"/>
          <w:numId w:val="3"/>
        </w:numPr>
        <w:tabs>
          <w:tab w:val="left" w:leader="none" w:pos="1232"/>
        </w:tabs>
        <w:spacing w:after="0" w:before="121" w:line="240" w:lineRule="auto"/>
        <w:ind w:left="1232" w:right="0" w:hanging="358"/>
        <w:jc w:val="both"/>
        <w:rPr/>
      </w:pPr>
      <w:r w:rsidDel="00000000" w:rsidR="00000000" w:rsidRPr="00000000">
        <w:rPr>
          <w:rtl w:val="0"/>
        </w:rPr>
        <w:t xml:space="preserve">Financial Indicators</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40" w:lineRule="auto"/>
        <w:ind w:left="874" w:right="1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10"/>
        </w:tabs>
        <w:spacing w:after="0" w:before="240" w:line="240" w:lineRule="auto"/>
        <w:ind w:left="1810" w:right="69"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Joint Schedule 7, the Financial Indicators and the corresponding calculations and thresholds used to determine whether a Financial Distress Event has occurred in respect of those Financial Indicators, shall be as follows:</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b w:val="1"/>
          <w:i w:val="0"/>
          <w:smallCaps w:val="0"/>
          <w:strike w:val="0"/>
          <w:color w:val="000000"/>
          <w:sz w:val="24"/>
          <w:szCs w:val="24"/>
          <w:u w:val="none"/>
          <w:shd w:fill="auto" w:val="clear"/>
          <w:vertAlign w:val="baseline"/>
        </w:rPr>
      </w:pPr>
      <w:r w:rsidDel="00000000" w:rsidR="00000000" w:rsidRPr="00000000">
        <w:rPr>
          <w:b w:val="1"/>
          <w:sz w:val="24"/>
          <w:szCs w:val="24"/>
          <w:rtl w:val="0"/>
        </w:rPr>
        <w:t xml:space="preserve">Redacted under FOIA S43 Commercial Interests</w:t>
      </w: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Joint Schedule 7 which sets out the calculation methodology to be used in the calculation of each financial indicator.</w:t>
      </w:r>
    </w:p>
    <w:p w:rsidR="00000000" w:rsidDel="00000000" w:rsidP="00000000" w:rsidRDefault="00000000" w:rsidRPr="00000000" w14:paraId="00000098">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10"/>
        </w:tabs>
        <w:spacing w:after="0" w:before="240" w:line="240" w:lineRule="auto"/>
        <w:ind w:left="181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123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Insert details of any other entities which the Supplier is required to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monitor against the Financial Indicators. These are in addition to the Supplier’s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monitoring of itself, the Guarantor and the Key Sub-contractors. Not all 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Financial Indicators may be applicable to a Monitored Supplier, so indicate which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of those are to apply in the table below]</w:t>
      </w: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4" w:line="240" w:lineRule="auto"/>
        <w:ind w:left="0" w:right="0" w:firstLine="0"/>
        <w:jc w:val="left"/>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tbl>
      <w:tblPr>
        <w:tblStyle w:val="Table4"/>
        <w:tblW w:w="8298.0" w:type="dxa"/>
        <w:jc w:val="left"/>
        <w:tblInd w:w="16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73"/>
        <w:gridCol w:w="4225"/>
        <w:tblGridChange w:id="0">
          <w:tblGrid>
            <w:gridCol w:w="4073"/>
            <w:gridCol w:w="4225"/>
          </w:tblGrid>
        </w:tblGridChange>
      </w:tblGrid>
      <w:tr>
        <w:trPr>
          <w:cantSplit w:val="0"/>
          <w:trHeight w:val="1878" w:hRule="atLeast"/>
          <w:tblHeader w:val="0"/>
        </w:trPr>
        <w:tc>
          <w:tcPr>
            <w:shd w:fill="d9d9d9" w:val="clea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 w:line="240" w:lineRule="auto"/>
              <w:ind w:left="11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 w:line="240" w:lineRule="auto"/>
              <w:ind w:left="1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15" w:right="2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rHeight w:val="1529" w:hRule="atLeast"/>
          <w:tblHeader w:val="0"/>
        </w:trPr>
        <w:tc>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 w:line="240" w:lineRule="auto"/>
              <w:ind w:left="115" w:right="1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contractor, Relevant Parent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Company etc.]</w:t>
            </w:r>
            <w:r w:rsidDel="00000000" w:rsidR="00000000" w:rsidRPr="00000000">
              <w:rPr>
                <w:rtl w:val="0"/>
              </w:rPr>
            </w:r>
          </w:p>
        </w:tc>
        <w:tc>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 w:line="240" w:lineRule="auto"/>
              <w:ind w:left="1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 w:line="478" w:lineRule="auto"/>
              <w:ind w:left="115" w:right="10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bl>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78" w:lineRule="auto"/>
        <w:ind w:left="0" w:right="0" w:firstLine="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40" w:top="1340" w:left="566" w:right="1417" w:header="715" w:footer="1580"/>
        </w:sect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7"/>
          <w:szCs w:val="7"/>
          <w:u w:val="none"/>
          <w:shd w:fill="auto" w:val="clear"/>
          <w:vertAlign w:val="baseline"/>
        </w:rPr>
      </w:pPr>
      <w:r w:rsidDel="00000000" w:rsidR="00000000" w:rsidRPr="00000000">
        <w:rPr>
          <w:rtl w:val="0"/>
        </w:rPr>
      </w:r>
    </w:p>
    <w:tbl>
      <w:tblPr>
        <w:tblStyle w:val="Table5"/>
        <w:tblW w:w="8298.0" w:type="dxa"/>
        <w:jc w:val="left"/>
        <w:tblInd w:w="16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73"/>
        <w:gridCol w:w="4225"/>
        <w:tblGridChange w:id="0">
          <w:tblGrid>
            <w:gridCol w:w="4073"/>
            <w:gridCol w:w="4225"/>
          </w:tblGrid>
        </w:tblGridChange>
      </w:tblGrid>
      <w:tr>
        <w:trPr>
          <w:cantSplit w:val="0"/>
          <w:trHeight w:val="1528" w:hRule="atLeast"/>
          <w:tblHeader w:val="0"/>
        </w:trPr>
        <w:tc>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 w:line="240" w:lineRule="auto"/>
              <w:ind w:left="115" w:right="1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contractor, Relevant Parent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Company etc.]</w:t>
            </w:r>
            <w:r w:rsidDel="00000000" w:rsidR="00000000" w:rsidRPr="00000000">
              <w:rPr>
                <w:rtl w:val="0"/>
              </w:rPr>
            </w:r>
          </w:p>
        </w:tc>
        <w:tc>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 w:line="240" w:lineRule="auto"/>
              <w:ind w:left="1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115" w:right="106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rHeight w:val="575" w:hRule="atLeast"/>
          <w:tblHeader w:val="0"/>
        </w:trPr>
        <w:tc>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 w:line="240" w:lineRule="auto"/>
              <w:ind w:left="1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r w:rsidDel="00000000" w:rsidR="00000000" w:rsidRPr="00000000">
              <w:rPr>
                <w:rtl w:val="0"/>
              </w:rPr>
            </w:r>
          </w:p>
        </w:tc>
        <w:tc>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 w:line="240" w:lineRule="auto"/>
              <w:ind w:left="11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r w:rsidDel="00000000" w:rsidR="00000000" w:rsidRPr="00000000">
              <w:rPr>
                <w:rtl w:val="0"/>
              </w:rPr>
            </w:r>
          </w:p>
        </w:tc>
      </w:tr>
    </w:tbl>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pStyle w:val="Heading1"/>
        <w:numPr>
          <w:ilvl w:val="0"/>
          <w:numId w:val="3"/>
        </w:numPr>
        <w:tabs>
          <w:tab w:val="left" w:leader="none" w:pos="1232"/>
        </w:tabs>
        <w:spacing w:after="0" w:before="0" w:line="240" w:lineRule="auto"/>
        <w:ind w:left="1232" w:right="0" w:hanging="358"/>
        <w:jc w:val="both"/>
        <w:rPr/>
      </w:pPr>
      <w:r w:rsidDel="00000000" w:rsidR="00000000" w:rsidRPr="00000000">
        <w:rPr>
          <w:rtl w:val="0"/>
        </w:rPr>
        <w:t xml:space="preserve">Termination rights</w:t>
      </w:r>
    </w:p>
    <w:p w:rsidR="00000000" w:rsidDel="00000000" w:rsidP="00000000" w:rsidRDefault="00000000" w:rsidRPr="00000000" w14:paraId="000000AA">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08"/>
        </w:tabs>
        <w:spacing w:after="0" w:before="240" w:line="240" w:lineRule="auto"/>
        <w:ind w:left="1808" w:right="0" w:hanging="57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AB">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22"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AC">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1" w:line="240" w:lineRule="auto"/>
        <w:ind w:left="2859" w:right="25"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D">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25"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E">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24"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F">
      <w:pPr>
        <w:pStyle w:val="Heading1"/>
        <w:numPr>
          <w:ilvl w:val="0"/>
          <w:numId w:val="3"/>
        </w:numPr>
        <w:tabs>
          <w:tab w:val="left" w:leader="none" w:pos="1232"/>
        </w:tabs>
        <w:spacing w:after="0" w:before="120" w:line="240" w:lineRule="auto"/>
        <w:ind w:left="1232" w:right="0" w:hanging="358"/>
        <w:jc w:val="both"/>
        <w:rPr/>
      </w:pPr>
      <w:r w:rsidDel="00000000" w:rsidR="00000000" w:rsidRPr="00000000">
        <w:rPr>
          <w:rtl w:val="0"/>
        </w:rPr>
        <w:t xml:space="preserve">Primacy of Credit Ratings</w:t>
      </w:r>
    </w:p>
    <w:p w:rsidR="00000000" w:rsidDel="00000000" w:rsidP="00000000" w:rsidRDefault="00000000" w:rsidRPr="00000000" w14:paraId="000000B0">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10"/>
        </w:tabs>
        <w:spacing w:after="0" w:before="241" w:line="240" w:lineRule="auto"/>
        <w:ind w:left="1810" w:right="192"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Joint Schedule 7, then:</w:t>
      </w:r>
    </w:p>
    <w:p w:rsidR="00000000" w:rsidDel="00000000" w:rsidP="00000000" w:rsidRDefault="00000000" w:rsidRPr="00000000" w14:paraId="000000B1">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25"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B2">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26"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B3">
      <w:pPr>
        <w:pStyle w:val="Heading1"/>
        <w:numPr>
          <w:ilvl w:val="0"/>
          <w:numId w:val="3"/>
        </w:numPr>
        <w:tabs>
          <w:tab w:val="left" w:leader="none" w:pos="1232"/>
        </w:tabs>
        <w:spacing w:after="0" w:before="120" w:line="240" w:lineRule="auto"/>
        <w:ind w:left="1232" w:right="0" w:hanging="358"/>
        <w:jc w:val="both"/>
        <w:rPr/>
      </w:pPr>
      <w:r w:rsidDel="00000000" w:rsidR="00000000" w:rsidRPr="00000000">
        <w:rPr>
          <w:rtl w:val="0"/>
        </w:rPr>
        <w:t xml:space="preserve">Board confirmation</w:t>
      </w:r>
    </w:p>
    <w:p w:rsidR="00000000" w:rsidDel="00000000" w:rsidP="00000000" w:rsidRDefault="00000000" w:rsidRPr="00000000" w14:paraId="000000B4">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10"/>
        </w:tabs>
        <w:spacing w:after="0" w:before="240" w:line="240" w:lineRule="auto"/>
        <w:ind w:left="1810" w:right="79" w:hanging="576"/>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40" w:top="1340" w:left="566" w:right="1417" w:header="715" w:footer="158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has been specified as a Critical Service Contract under Paragraph 1.1 of Call-Off Schedule 24 (Corporate Resolution Planning) (if applicable) then, subject to Paragraph 8.4 of this Joint Schedule 7, the Supplier shall within ninety (90) days after each Accounting Reference Date or within fifteen (15) Months of the previous Board Confirmation (whichever is the earlier) provide a Board Confirmation to the Relevant Authority in the</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40" w:lineRule="auto"/>
        <w:ind w:left="1810" w:right="10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form set out at Annex 4 to this Joint Schedule 7, confirming that to the best of the Board’s knowledge and belief, it is not aware of and has no knowledge:</w:t>
      </w:r>
    </w:p>
    <w:p w:rsidR="00000000" w:rsidDel="00000000" w:rsidP="00000000" w:rsidRDefault="00000000" w:rsidRPr="00000000" w14:paraId="000000B6">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24"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B7">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tabs>
          <w:tab w:val="left" w:leader="none" w:pos="2856"/>
          <w:tab w:val="left" w:leader="none" w:pos="2859"/>
        </w:tabs>
        <w:spacing w:after="0" w:before="120" w:line="240" w:lineRule="auto"/>
        <w:ind w:left="2859" w:right="24"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B8">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10"/>
        </w:tabs>
        <w:spacing w:after="0" w:before="120" w:line="240" w:lineRule="auto"/>
        <w:ind w:left="1810" w:right="97"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B9">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10"/>
        </w:tabs>
        <w:spacing w:after="0" w:before="121" w:line="240" w:lineRule="auto"/>
        <w:ind w:left="1810" w:right="56"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fifteen (15) Months of the Effective Date if earlier than the timescale for submission set out in Paragraph 8.1 of this Joint Schedule 7.</w:t>
      </w:r>
    </w:p>
    <w:p w:rsidR="00000000" w:rsidDel="00000000" w:rsidP="00000000" w:rsidRDefault="00000000" w:rsidRPr="00000000" w14:paraId="000000BA">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1810"/>
        </w:tabs>
        <w:spacing w:after="0" w:before="120" w:line="240" w:lineRule="auto"/>
        <w:ind w:left="1810" w:right="57" w:hanging="576"/>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40" w:top="1340" w:left="566" w:right="1417" w:header="715" w:footer="158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Joint Schedule 7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B">
      <w:pPr>
        <w:pStyle w:val="Heading1"/>
        <w:spacing w:before="82" w:lineRule="auto"/>
        <w:ind w:firstLine="0"/>
        <w:rPr/>
      </w:pPr>
      <w:r w:rsidDel="00000000" w:rsidR="00000000" w:rsidRPr="00000000">
        <w:rPr>
          <w:rtl w:val="0"/>
        </w:rPr>
        <w:t xml:space="preserve">Annex 1: Rating Agencies and their standard Rating System</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&amp; Bradstreet</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spacing w:before="0" w:line="276" w:lineRule="auto"/>
        <w:ind w:left="874" w:right="104"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D&amp;B provides Scores and Ratings to help clients identify organisations that are likely to fail or pay late.</w:t>
      </w:r>
    </w:p>
    <w:p w:rsidR="00000000" w:rsidDel="00000000" w:rsidP="00000000" w:rsidRDefault="00000000" w:rsidRPr="00000000" w14:paraId="000000C1">
      <w:pPr>
        <w:spacing w:before="201" w:lineRule="auto"/>
        <w:ind w:left="874" w:right="0"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helps clients to drive growth and decision making by:</w:t>
      </w:r>
    </w:p>
    <w:p w:rsidR="00000000" w:rsidDel="00000000" w:rsidP="00000000" w:rsidRDefault="00000000" w:rsidRPr="00000000" w14:paraId="000000C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594"/>
        </w:tabs>
        <w:spacing w:after="0" w:before="240" w:line="276" w:lineRule="auto"/>
        <w:ind w:left="1594" w:right="109"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Allowing automated decisions for increased efficiency, which will free up valuable resources to focus on more important decisions</w:t>
      </w:r>
    </w:p>
    <w:p w:rsidR="00000000" w:rsidDel="00000000" w:rsidP="00000000" w:rsidRDefault="00000000" w:rsidRPr="00000000" w14:paraId="000000C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594"/>
        </w:tabs>
        <w:spacing w:after="0" w:before="0" w:line="268" w:lineRule="auto"/>
        <w:ind w:left="1594"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Enabling more consistent decisions across organisations</w:t>
      </w:r>
    </w:p>
    <w:p w:rsidR="00000000" w:rsidDel="00000000" w:rsidP="00000000" w:rsidRDefault="00000000" w:rsidRPr="00000000" w14:paraId="000000C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594"/>
        </w:tabs>
        <w:spacing w:after="0" w:before="42" w:line="240" w:lineRule="auto"/>
        <w:ind w:left="1594"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Applying scores across an entire portfolio to quickly identify risk and opportunity</w:t>
      </w:r>
    </w:p>
    <w:p w:rsidR="00000000" w:rsidDel="00000000" w:rsidP="00000000" w:rsidRDefault="00000000" w:rsidRPr="00000000" w14:paraId="000000C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594"/>
        </w:tabs>
        <w:spacing w:after="0" w:before="41" w:line="240" w:lineRule="auto"/>
        <w:ind w:left="1594"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Allowing faster processing of large volumes of transactions</w:t>
      </w:r>
    </w:p>
    <w:p w:rsidR="00000000" w:rsidDel="00000000" w:rsidP="00000000" w:rsidRDefault="00000000" w:rsidRPr="00000000" w14:paraId="000000C6">
      <w:pPr>
        <w:spacing w:before="240" w:lineRule="auto"/>
        <w:ind w:left="874" w:right="0"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D&amp;B Rating is made up of two parts and presented in the following format:</w:t>
      </w:r>
    </w:p>
    <w:p w:rsidR="00000000" w:rsidDel="00000000" w:rsidP="00000000" w:rsidRDefault="00000000" w:rsidRPr="00000000" w14:paraId="000000C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594"/>
        </w:tabs>
        <w:spacing w:after="0" w:before="240" w:line="240" w:lineRule="auto"/>
        <w:ind w:left="1594"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Financial strength - Based on Tangible Net Worth from the latest financial accounts</w:t>
      </w:r>
    </w:p>
    <w:p w:rsidR="00000000" w:rsidDel="00000000" w:rsidP="00000000" w:rsidRDefault="00000000" w:rsidRPr="00000000" w14:paraId="000000C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594"/>
        </w:tabs>
        <w:spacing w:after="0" w:before="39" w:line="276" w:lineRule="auto"/>
        <w:ind w:left="1594" w:right="189"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Risk Indicator - Derived from the D&amp;B Failure Score but also takes into account expert rules and overrides</w:t>
      </w:r>
    </w:p>
    <w:p w:rsidR="00000000" w:rsidDel="00000000" w:rsidP="00000000" w:rsidRDefault="00000000" w:rsidRPr="00000000" w14:paraId="000000C9">
      <w:pPr>
        <w:spacing w:before="201" w:line="276" w:lineRule="auto"/>
        <w:ind w:left="874" w:right="706" w:firstLine="0"/>
        <w:jc w:val="left"/>
        <w:rPr>
          <w:rFonts w:ascii="Calibri" w:cs="Calibri" w:eastAsia="Calibri" w:hAnsi="Calibri"/>
          <w:sz w:val="22"/>
          <w:szCs w:val="22"/>
        </w:rPr>
        <w:sectPr>
          <w:type w:val="nextPage"/>
          <w:pgSz w:h="16840" w:w="11910" w:orient="portrait"/>
          <w:pgMar w:bottom="1840" w:top="1340" w:left="566" w:right="1417" w:header="715" w:footer="1580"/>
        </w:sectPr>
      </w:pPr>
      <w:r w:rsidDel="00000000" w:rsidR="00000000" w:rsidRPr="00000000">
        <w:rPr>
          <w:rFonts w:ascii="Calibri" w:cs="Calibri" w:eastAsia="Calibri" w:hAnsi="Calibri"/>
          <w:sz w:val="22"/>
          <w:szCs w:val="22"/>
          <w:rtl w:val="0"/>
        </w:rPr>
        <w:t xml:space="preserve">More information on the Financial Strength and Risk Indicator can be found here: </w:t>
      </w:r>
      <w:hyperlink r:id="rId12">
        <w:r w:rsidDel="00000000" w:rsidR="00000000" w:rsidRPr="00000000">
          <w:rPr>
            <w:rFonts w:ascii="Calibri" w:cs="Calibri" w:eastAsia="Calibri" w:hAnsi="Calibri"/>
            <w:color w:val="0000ff"/>
            <w:sz w:val="22"/>
            <w:szCs w:val="22"/>
            <w:u w:val="single"/>
            <w:rtl w:val="0"/>
          </w:rPr>
          <w:t xml:space="preserve">https://www.dnb.co.uk/about-us/our-analytics/predictors-scores-ratings/scores-ratings.html</w:t>
        </w:r>
      </w:hyperlink>
      <w:r w:rsidDel="00000000" w:rsidR="00000000" w:rsidRPr="00000000">
        <w:rPr>
          <w:rtl w:val="0"/>
        </w:rPr>
      </w:r>
    </w:p>
    <w:p w:rsidR="00000000" w:rsidDel="00000000" w:rsidP="00000000" w:rsidRDefault="00000000" w:rsidRPr="00000000" w14:paraId="000000CA">
      <w:pPr>
        <w:pStyle w:val="Heading1"/>
        <w:spacing w:before="82" w:lineRule="auto"/>
        <w:ind w:firstLine="0"/>
        <w:rPr/>
      </w:pPr>
      <w:r w:rsidDel="00000000" w:rsidR="00000000" w:rsidRPr="00000000">
        <w:rPr>
          <w:rtl w:val="0"/>
        </w:rPr>
        <w:t xml:space="preserve">Annex 2: Credit Ratings and Credit Rating Thresholds</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b w:val="1"/>
          <w:sz w:val="20"/>
          <w:szCs w:val="20"/>
        </w:rPr>
        <w:sectPr>
          <w:type w:val="nextPage"/>
          <w:pgSz w:h="16840" w:w="11910" w:orient="portrait"/>
          <w:pgMar w:bottom="1840" w:top="1340" w:left="566" w:right="1417" w:header="715" w:footer="1580"/>
        </w:sectPr>
      </w:pPr>
      <w:r w:rsidDel="00000000" w:rsidR="00000000" w:rsidRPr="00000000">
        <w:rPr>
          <w:b w:val="1"/>
          <w:sz w:val="20"/>
          <w:szCs w:val="20"/>
          <w:rtl w:val="0"/>
        </w:rPr>
        <w:t xml:space="preserve">Redacted under FOIA S43 Commercial Interests</w:t>
      </w:r>
      <w:r w:rsidDel="00000000" w:rsidR="00000000" w:rsidRPr="00000000">
        <w:rPr>
          <w:rtl w:val="0"/>
        </w:rPr>
      </w:r>
    </w:p>
    <w:p w:rsidR="00000000" w:rsidDel="00000000" w:rsidP="00000000" w:rsidRDefault="00000000" w:rsidRPr="00000000" w14:paraId="000000CD">
      <w:pPr>
        <w:spacing w:before="82" w:lineRule="auto"/>
        <w:ind w:left="874" w:right="0" w:firstLine="0"/>
        <w:jc w:val="left"/>
        <w:rPr>
          <w:b w:val="1"/>
          <w:sz w:val="24"/>
          <w:szCs w:val="24"/>
        </w:rPr>
      </w:pPr>
      <w:r w:rsidDel="00000000" w:rsidR="00000000" w:rsidRPr="00000000">
        <w:rPr>
          <w:b w:val="1"/>
          <w:sz w:val="24"/>
          <w:szCs w:val="24"/>
          <w:rtl w:val="0"/>
        </w:rPr>
        <w:t xml:space="preserve">Annex 3: Calculation methodology for Financial Indicators</w:t>
      </w:r>
    </w:p>
    <w:p w:rsidR="00000000" w:rsidDel="00000000" w:rsidP="00000000" w:rsidRDefault="00000000" w:rsidRPr="00000000" w14:paraId="000000CE">
      <w:pPr>
        <w:spacing w:before="199" w:lineRule="auto"/>
        <w:ind w:left="874" w:right="0" w:firstLine="0"/>
        <w:jc w:val="left"/>
        <w:rPr>
          <w:b w:val="1"/>
          <w:i w:val="1"/>
          <w:sz w:val="24"/>
          <w:szCs w:val="24"/>
        </w:rPr>
      </w:pPr>
      <w:r w:rsidDel="00000000" w:rsidR="00000000" w:rsidRPr="00000000">
        <w:rPr>
          <w:b w:val="1"/>
          <w:i w:val="1"/>
          <w:color w:val="000000"/>
          <w:sz w:val="24"/>
          <w:szCs w:val="24"/>
          <w:highlight w:val="yellow"/>
          <w:rtl w:val="0"/>
        </w:rPr>
        <w:t xml:space="preserve">[Guidance: Amend this section as appropriate to reflect the calculation</w:t>
      </w:r>
      <w:r w:rsidDel="00000000" w:rsidR="00000000" w:rsidRPr="00000000">
        <w:rPr>
          <w:b w:val="1"/>
          <w:i w:val="1"/>
          <w:color w:val="000000"/>
          <w:sz w:val="24"/>
          <w:szCs w:val="24"/>
          <w:rtl w:val="0"/>
        </w:rPr>
        <w:t xml:space="preserve"> </w:t>
      </w:r>
      <w:r w:rsidDel="00000000" w:rsidR="00000000" w:rsidRPr="00000000">
        <w:rPr>
          <w:b w:val="1"/>
          <w:i w:val="1"/>
          <w:color w:val="000000"/>
          <w:sz w:val="24"/>
          <w:szCs w:val="24"/>
          <w:highlight w:val="yellow"/>
          <w:rtl w:val="0"/>
        </w:rPr>
        <w:t xml:space="preserve">methodology for those Financial Indicators that are selected for inclusion in</w:t>
      </w:r>
      <w:r w:rsidDel="00000000" w:rsidR="00000000" w:rsidRPr="00000000">
        <w:rPr>
          <w:b w:val="1"/>
          <w:i w:val="1"/>
          <w:color w:val="000000"/>
          <w:sz w:val="24"/>
          <w:szCs w:val="24"/>
          <w:rtl w:val="0"/>
        </w:rPr>
        <w:t xml:space="preserve"> </w:t>
      </w:r>
      <w:r w:rsidDel="00000000" w:rsidR="00000000" w:rsidRPr="00000000">
        <w:rPr>
          <w:b w:val="1"/>
          <w:i w:val="1"/>
          <w:color w:val="000000"/>
          <w:sz w:val="24"/>
          <w:szCs w:val="24"/>
          <w:highlight w:val="yellow"/>
          <w:rtl w:val="0"/>
        </w:rPr>
        <w:t xml:space="preserve">Paragraph 5.1 of this Schedule]</w:t>
      </w: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 w:line="240" w:lineRule="auto"/>
        <w:ind w:left="87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D0">
      <w:pPr>
        <w:spacing w:before="199" w:lineRule="auto"/>
        <w:ind w:left="874" w:right="0" w:firstLine="0"/>
        <w:jc w:val="left"/>
        <w:rPr>
          <w:b w:val="1"/>
          <w:sz w:val="24"/>
          <w:szCs w:val="24"/>
        </w:rPr>
      </w:pPr>
      <w:r w:rsidDel="00000000" w:rsidR="00000000" w:rsidRPr="00000000">
        <w:rPr>
          <w:b w:val="1"/>
          <w:sz w:val="24"/>
          <w:szCs w:val="24"/>
          <w:u w:val="single"/>
          <w:rtl w:val="0"/>
        </w:rPr>
        <w:t xml:space="preserve">General methodology</w:t>
      </w:r>
      <w:r w:rsidDel="00000000" w:rsidR="00000000" w:rsidRPr="00000000">
        <w:rPr>
          <w:rtl w:val="0"/>
        </w:rPr>
      </w:r>
    </w:p>
    <w:p w:rsidR="00000000" w:rsidDel="00000000" w:rsidP="00000000" w:rsidRDefault="00000000" w:rsidRPr="00000000" w14:paraId="000000D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594"/>
        </w:tabs>
        <w:spacing w:after="0" w:before="200" w:line="240" w:lineRule="auto"/>
        <w:ind w:left="1594" w:right="6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D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594"/>
        </w:tabs>
        <w:spacing w:after="0" w:before="202" w:line="240" w:lineRule="auto"/>
        <w:ind w:left="1594" w:right="366"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D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594"/>
        </w:tabs>
        <w:spacing w:after="0" w:before="199" w:line="240" w:lineRule="auto"/>
        <w:ind w:left="1594" w:right="403"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D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594"/>
        </w:tabs>
        <w:spacing w:after="0" w:before="199" w:line="240" w:lineRule="auto"/>
        <w:ind w:left="1594" w:right="251"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D5">
      <w:pPr>
        <w:spacing w:before="200" w:lineRule="auto"/>
        <w:ind w:left="874" w:right="0" w:firstLine="0"/>
        <w:jc w:val="left"/>
        <w:rPr>
          <w:b w:val="1"/>
          <w:sz w:val="24"/>
          <w:szCs w:val="24"/>
        </w:rPr>
      </w:pPr>
      <w:r w:rsidDel="00000000" w:rsidR="00000000" w:rsidRPr="00000000">
        <w:rPr>
          <w:b w:val="1"/>
          <w:sz w:val="24"/>
          <w:szCs w:val="24"/>
          <w:u w:val="single"/>
          <w:rtl w:val="0"/>
        </w:rPr>
        <w:t xml:space="preserve">Specific Methodology</w:t>
      </w: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Arial" w:cs="Arial" w:eastAsia="Arial" w:hAnsi="Arial"/>
          <w:b w:val="1"/>
          <w:i w:val="0"/>
          <w:smallCaps w:val="0"/>
          <w:strike w:val="0"/>
          <w:color w:val="000000"/>
          <w:sz w:val="17"/>
          <w:szCs w:val="17"/>
          <w:u w:val="none"/>
          <w:shd w:fill="auto" w:val="clear"/>
          <w:vertAlign w:val="baseline"/>
        </w:rPr>
      </w:pPr>
      <w:r w:rsidDel="00000000" w:rsidR="00000000" w:rsidRPr="00000000">
        <w:rPr>
          <w:rtl w:val="0"/>
        </w:rPr>
      </w:r>
    </w:p>
    <w:tbl>
      <w:tblPr>
        <w:tblStyle w:val="Table6"/>
        <w:tblW w:w="9019.0" w:type="dxa"/>
        <w:jc w:val="left"/>
        <w:tblInd w:w="8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40"/>
        <w:gridCol w:w="6479"/>
        <w:tblGridChange w:id="0">
          <w:tblGrid>
            <w:gridCol w:w="2540"/>
            <w:gridCol w:w="6479"/>
          </w:tblGrid>
        </w:tblGridChange>
      </w:tblGrid>
      <w:tr>
        <w:trPr>
          <w:cantSplit w:val="0"/>
          <w:trHeight w:val="575" w:hRule="atLeast"/>
          <w:tblHeader w:val="0"/>
        </w:trPr>
        <w:tc>
          <w:tcPr>
            <w:shd w:fill="d9d9d9" w:val="clea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 w:line="240" w:lineRule="auto"/>
              <w:ind w:left="11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rHeight w:val="3184" w:hRule="atLeast"/>
          <w:tblHeader w:val="0"/>
        </w:trPr>
        <w:tc>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11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Margin</w:t>
            </w:r>
          </w:p>
        </w:tc>
        <w:tc>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 w:line="240" w:lineRule="auto"/>
              <w:ind w:left="112" w:right="1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12" w:right="1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12" w:right="1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 entity has an operating loss (i.e. where the operating profit is negative), Operating Profit should be taken to be zero.</w:t>
            </w:r>
          </w:p>
        </w:tc>
      </w:tr>
      <w:tr>
        <w:trPr>
          <w:cantSplit w:val="0"/>
          <w:trHeight w:val="1804" w:hRule="atLeast"/>
          <w:tblHeader w:val="0"/>
        </w:trPr>
        <w:tc>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 w:line="240" w:lineRule="auto"/>
              <w:ind w:left="11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15" w:right="2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Free Cash Flow to Net Debt Ratio</w:t>
            </w:r>
          </w:p>
        </w:tc>
        <w:tc>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 w:line="240" w:lineRule="auto"/>
              <w:ind w:left="112" w:right="16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Free Cash Flow</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Net Cash Flow from Operating Activities – Capital Expenditure</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12"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Capital Expenditure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Purchase of property, plant &amp; equipment + purchase of intangible assets</w:t>
            </w:r>
          </w:p>
        </w:tc>
      </w:tr>
    </w:tbl>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sectPr>
          <w:type w:val="nextPage"/>
          <w:pgSz w:h="16840" w:w="11910" w:orient="portrait"/>
          <w:pgMar w:bottom="1840" w:top="1340" w:left="566" w:right="1417" w:header="715" w:footer="1580"/>
        </w:sectPr>
      </w:pPr>
      <w:r w:rsidDel="00000000" w:rsidR="00000000" w:rsidRPr="00000000">
        <w:rPr>
          <w:rtl w:val="0"/>
        </w:rPr>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i w:val="0"/>
          <w:smallCaps w:val="0"/>
          <w:strike w:val="0"/>
          <w:color w:val="000000"/>
          <w:sz w:val="7"/>
          <w:szCs w:val="7"/>
          <w:u w:val="none"/>
          <w:shd w:fill="auto" w:val="clear"/>
          <w:vertAlign w:val="baseline"/>
        </w:rPr>
      </w:pPr>
      <w:r w:rsidDel="00000000" w:rsidR="00000000" w:rsidRPr="00000000">
        <w:rPr>
          <w:rtl w:val="0"/>
        </w:rPr>
      </w:r>
    </w:p>
    <w:tbl>
      <w:tblPr>
        <w:tblStyle w:val="Table7"/>
        <w:tblW w:w="9019.0" w:type="dxa"/>
        <w:jc w:val="left"/>
        <w:tblInd w:w="8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40"/>
        <w:gridCol w:w="6479"/>
        <w:tblGridChange w:id="0">
          <w:tblGrid>
            <w:gridCol w:w="2540"/>
            <w:gridCol w:w="6479"/>
          </w:tblGrid>
        </w:tblGridChange>
      </w:tblGrid>
      <w:tr>
        <w:trPr>
          <w:cantSplit w:val="0"/>
          <w:trHeight w:val="13242" w:hRule="atLeast"/>
          <w:tblHeader w:val="0"/>
        </w:trPr>
        <w:tc>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tc>
        <w:tc>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112" w:right="1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Cash Flow from Operating Activities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should be stated after deduction of interest and tax paid.</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112" w:right="1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Capital expenditure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112" w:right="13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Borrowings should also include balances owed to other group members.</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12" w:right="1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12"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12"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tc>
      </w:tr>
    </w:tbl>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sectPr>
          <w:type w:val="nextPage"/>
          <w:pgSz w:h="16840" w:w="11910" w:orient="portrait"/>
          <w:pgMar w:bottom="1840" w:top="1340" w:left="566" w:right="1417" w:header="715" w:footer="1580"/>
        </w:sectPr>
      </w:pPr>
      <w:r w:rsidDel="00000000" w:rsidR="00000000" w:rsidRPr="00000000">
        <w:rPr>
          <w:rtl w:val="0"/>
        </w:rPr>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i w:val="0"/>
          <w:smallCaps w:val="0"/>
          <w:strike w:val="0"/>
          <w:color w:val="000000"/>
          <w:sz w:val="7"/>
          <w:szCs w:val="7"/>
          <w:u w:val="none"/>
          <w:shd w:fill="auto" w:val="clear"/>
          <w:vertAlign w:val="baseline"/>
        </w:rPr>
      </w:pPr>
      <w:r w:rsidDel="00000000" w:rsidR="00000000" w:rsidRPr="00000000">
        <w:rPr>
          <w:rtl w:val="0"/>
        </w:rPr>
      </w:r>
    </w:p>
    <w:tbl>
      <w:tblPr>
        <w:tblStyle w:val="Table8"/>
        <w:tblW w:w="9019.0" w:type="dxa"/>
        <w:jc w:val="left"/>
        <w:tblInd w:w="8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40"/>
        <w:gridCol w:w="6479"/>
        <w:tblGridChange w:id="0">
          <w:tblGrid>
            <w:gridCol w:w="2540"/>
            <w:gridCol w:w="6479"/>
          </w:tblGrid>
        </w:tblGridChange>
      </w:tblGrid>
      <w:tr>
        <w:trPr>
          <w:cantSplit w:val="0"/>
          <w:trHeight w:val="10585" w:hRule="atLeast"/>
          <w:tblHeader w:val="0"/>
        </w:trPr>
        <w:tc>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to EBITDA Ratio</w:t>
            </w:r>
          </w:p>
        </w:tc>
        <w:tc>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23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112" w:right="13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Borrowings should also include balances owed to other group members.</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112" w:right="1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 w:line="240" w:lineRule="auto"/>
              <w:ind w:left="112" w:right="116"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rHeight w:val="2633" w:hRule="atLeast"/>
          <w:tblHeader w:val="0"/>
        </w:trPr>
        <w:tc>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 w:line="240" w:lineRule="auto"/>
              <w:ind w:left="11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11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 Net Pension Deficit to EBITDA ratio</w:t>
            </w:r>
          </w:p>
        </w:tc>
        <w:tc>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 w:line="240" w:lineRule="auto"/>
              <w:ind w:left="112"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112"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Retirement Benefit Obligations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Retirement Benefit Assets</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12"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tc>
      </w:tr>
    </w:tbl>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sectPr>
          <w:type w:val="nextPage"/>
          <w:pgSz w:h="16840" w:w="11910" w:orient="portrait"/>
          <w:pgMar w:bottom="1840" w:top="1340" w:left="566" w:right="1417" w:header="715" w:footer="1580"/>
        </w:sectPr>
      </w:pPr>
      <w:r w:rsidDel="00000000" w:rsidR="00000000" w:rsidRPr="00000000">
        <w:rPr>
          <w:rtl w:val="0"/>
        </w:rPr>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i w:val="0"/>
          <w:smallCaps w:val="0"/>
          <w:strike w:val="0"/>
          <w:color w:val="000000"/>
          <w:sz w:val="7"/>
          <w:szCs w:val="7"/>
          <w:u w:val="none"/>
          <w:shd w:fill="auto" w:val="clear"/>
          <w:vertAlign w:val="baseline"/>
        </w:rPr>
      </w:pPr>
      <w:r w:rsidDel="00000000" w:rsidR="00000000" w:rsidRPr="00000000">
        <w:rPr>
          <w:rtl w:val="0"/>
        </w:rPr>
      </w:r>
    </w:p>
    <w:tbl>
      <w:tblPr>
        <w:tblStyle w:val="Table9"/>
        <w:tblW w:w="9019.0" w:type="dxa"/>
        <w:jc w:val="left"/>
        <w:tblInd w:w="8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40"/>
        <w:gridCol w:w="6479"/>
        <w:tblGridChange w:id="0">
          <w:tblGrid>
            <w:gridCol w:w="2540"/>
            <w:gridCol w:w="6479"/>
          </w:tblGrid>
        </w:tblGridChange>
      </w:tblGrid>
      <w:tr>
        <w:trPr>
          <w:cantSplit w:val="0"/>
          <w:trHeight w:val="13117" w:hRule="atLeast"/>
          <w:tblHeader w:val="0"/>
        </w:trPr>
        <w:tc>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11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112" w:right="13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not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non-designated hedges).</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Borrowings should also include balances owed to other group members.</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112" w:right="23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12" w:right="1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112" w:right="23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bl>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40" w:top="1340" w:left="566" w:right="1417" w:header="715" w:footer="1580"/>
        </w:sectPr>
      </w:pPr>
      <w:r w:rsidDel="00000000" w:rsidR="00000000" w:rsidRPr="00000000">
        <w:rPr>
          <w:rtl w:val="0"/>
        </w:rPr>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i w:val="0"/>
          <w:smallCaps w:val="0"/>
          <w:strike w:val="0"/>
          <w:color w:val="000000"/>
          <w:sz w:val="7"/>
          <w:szCs w:val="7"/>
          <w:u w:val="none"/>
          <w:shd w:fill="auto" w:val="clear"/>
          <w:vertAlign w:val="baseline"/>
        </w:rPr>
      </w:pPr>
      <w:r w:rsidDel="00000000" w:rsidR="00000000" w:rsidRPr="00000000">
        <w:rPr>
          <w:rtl w:val="0"/>
        </w:rPr>
      </w:r>
    </w:p>
    <w:tbl>
      <w:tblPr>
        <w:tblStyle w:val="Table10"/>
        <w:tblW w:w="9019.0" w:type="dxa"/>
        <w:jc w:val="left"/>
        <w:tblInd w:w="8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40"/>
        <w:gridCol w:w="6479"/>
        <w:tblGridChange w:id="0">
          <w:tblGrid>
            <w:gridCol w:w="2540"/>
            <w:gridCol w:w="6479"/>
          </w:tblGrid>
        </w:tblGridChange>
      </w:tblGrid>
      <w:tr>
        <w:trPr>
          <w:cantSplit w:val="0"/>
          <w:trHeight w:val="4411" w:hRule="atLeast"/>
          <w:tblHeader w:val="0"/>
        </w:trPr>
        <w:tc>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11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Interest Paid Cover</w:t>
            </w:r>
          </w:p>
        </w:tc>
        <w:tc>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 w:line="412" w:lineRule="auto"/>
              <w:ind w:left="112" w:right="16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Interest paid – Interest received</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2" w:right="11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profit should be shown on the face of the Income Statement in a standard set of financial statements and, for the purposes of calculating this Financial</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Indicator, should include the entity’s share of the results of any joint ventures or Associates.</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Interest received and interest paid should be shown on the face of the Cash Flow statement.</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12" w:right="20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interest paid is negative (i.e. the entity has net interest received), the relevant Financial Target Threshold should be treated as having been met.</w:t>
            </w:r>
          </w:p>
        </w:tc>
      </w:tr>
      <w:tr>
        <w:trPr>
          <w:cantSplit w:val="0"/>
          <w:trHeight w:val="1129" w:hRule="atLeast"/>
          <w:tblHeader w:val="0"/>
        </w:trPr>
        <w:tc>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 w:line="240" w:lineRule="auto"/>
              <w:ind w:left="11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1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Acid Ratio</w:t>
            </w:r>
          </w:p>
        </w:tc>
        <w:tc>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 w:line="240" w:lineRule="auto"/>
              <w:ind w:left="112" w:right="1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elements that are used to calculate the Acid Ratio are available on the face of the Balance Sheet in a standard set of financial statements.</w:t>
            </w:r>
          </w:p>
        </w:tc>
      </w:tr>
      <w:tr>
        <w:trPr>
          <w:cantSplit w:val="0"/>
          <w:trHeight w:val="3336" w:hRule="atLeast"/>
          <w:tblHeader w:val="0"/>
        </w:trPr>
        <w:tc>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1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Asset value</w:t>
            </w:r>
          </w:p>
        </w:tc>
        <w:tc>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 w:line="240" w:lineRule="auto"/>
              <w:ind w:left="112" w:right="16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 controlling interests (as if the entity owned 100% of such entity).</w:t>
            </w:r>
          </w:p>
        </w:tc>
      </w:tr>
      <w:tr>
        <w:trPr>
          <w:cantSplit w:val="0"/>
          <w:trHeight w:val="4562" w:hRule="atLeast"/>
          <w:tblHeader w:val="0"/>
        </w:trPr>
        <w:tc>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1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Group Exposure Ratio</w:t>
            </w:r>
          </w:p>
        </w:tc>
        <w:tc>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 w:line="240" w:lineRule="auto"/>
              <w:ind w:left="112" w:right="236"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Balances owed by Group Undertakings + Contingent liabilities assumed in support of Group Undertakings</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 w:line="240" w:lineRule="auto"/>
              <w:ind w:left="112"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Fixed Assets + Current Assets</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 w:line="240" w:lineRule="auto"/>
              <w:ind w:left="112" w:right="12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 w:line="240" w:lineRule="auto"/>
              <w:ind w:left="112" w:right="236"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Contingent liabilities assumed in support of Group Undertakings are shown in the Contingent Liabilities note in a standard set of financial statements. They include</w:t>
            </w:r>
          </w:p>
        </w:tc>
      </w:tr>
    </w:tbl>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20" w:top="1340" w:left="566" w:right="1417" w:header="715" w:footer="1580"/>
        </w:sectPr>
      </w:pPr>
      <w:r w:rsidDel="00000000" w:rsidR="00000000" w:rsidRPr="00000000">
        <w:rPr>
          <w:rtl w:val="0"/>
        </w:rPr>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1"/>
          <w:i w:val="0"/>
          <w:smallCaps w:val="0"/>
          <w:strike w:val="0"/>
          <w:color w:val="000000"/>
          <w:sz w:val="7"/>
          <w:szCs w:val="7"/>
          <w:u w:val="none"/>
          <w:shd w:fill="auto" w:val="clear"/>
          <w:vertAlign w:val="baseline"/>
        </w:rPr>
      </w:pPr>
      <w:r w:rsidDel="00000000" w:rsidR="00000000" w:rsidRPr="00000000">
        <w:rPr>
          <w:rtl w:val="0"/>
        </w:rPr>
      </w:r>
    </w:p>
    <w:tbl>
      <w:tblPr>
        <w:tblStyle w:val="Table11"/>
        <w:tblW w:w="9019.0" w:type="dxa"/>
        <w:jc w:val="left"/>
        <w:tblInd w:w="8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40"/>
        <w:gridCol w:w="6479"/>
        <w:tblGridChange w:id="0">
          <w:tblGrid>
            <w:gridCol w:w="2540"/>
            <w:gridCol w:w="6479"/>
          </w:tblGrid>
        </w:tblGridChange>
      </w:tblGrid>
      <w:tr>
        <w:trPr>
          <w:cantSplit w:val="0"/>
          <w:trHeight w:val="4188" w:hRule="atLeast"/>
          <w:tblHeader w:val="0"/>
        </w:trPr>
        <w:tc>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12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Both Fixed assets and Current assets are shown on the face of the Balance Sheet</w:t>
            </w:r>
          </w:p>
        </w:tc>
      </w:tr>
    </w:tbl>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840" w:top="1340" w:left="566" w:right="1417" w:header="715" w:footer="1580"/>
        </w:sectPr>
      </w:pPr>
      <w:r w:rsidDel="00000000" w:rsidR="00000000" w:rsidRPr="00000000">
        <w:rPr>
          <w:rtl w:val="0"/>
        </w:rPr>
      </w:r>
    </w:p>
    <w:p w:rsidR="00000000" w:rsidDel="00000000" w:rsidP="00000000" w:rsidRDefault="00000000" w:rsidRPr="00000000" w14:paraId="00000169">
      <w:pPr>
        <w:spacing w:before="82" w:lineRule="auto"/>
        <w:ind w:left="874" w:right="0" w:firstLine="0"/>
        <w:jc w:val="left"/>
        <w:rPr>
          <w:b w:val="1"/>
          <w:sz w:val="24"/>
          <w:szCs w:val="24"/>
        </w:rPr>
      </w:pPr>
      <w:r w:rsidDel="00000000" w:rsidR="00000000" w:rsidRPr="00000000">
        <w:rPr>
          <w:b w:val="1"/>
          <w:smallCaps w:val="1"/>
          <w:sz w:val="24"/>
          <w:szCs w:val="24"/>
          <w:rtl w:val="0"/>
        </w:rPr>
        <w:t xml:space="preserve">Annex 4: Board Confirmation</w:t>
      </w:r>
      <w:r w:rsidDel="00000000" w:rsidR="00000000" w:rsidRPr="00000000">
        <w:rPr>
          <w:rtl w:val="0"/>
        </w:rPr>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16D">
      <w:pPr>
        <w:spacing w:before="0" w:lineRule="auto"/>
        <w:ind w:left="874" w:right="0" w:firstLine="0"/>
        <w:jc w:val="left"/>
        <w:rPr>
          <w:b w:val="1"/>
          <w:sz w:val="24"/>
          <w:szCs w:val="24"/>
        </w:rPr>
      </w:pPr>
      <w:r w:rsidDel="00000000" w:rsidR="00000000" w:rsidRPr="00000000">
        <w:rPr>
          <w:b w:val="1"/>
          <w:sz w:val="24"/>
          <w:szCs w:val="24"/>
          <w:rtl w:val="0"/>
        </w:rPr>
        <w:t xml:space="preserve">Supplier Name:</w:t>
      </w:r>
    </w:p>
    <w:p w:rsidR="00000000" w:rsidDel="00000000" w:rsidP="00000000" w:rsidRDefault="00000000" w:rsidRPr="00000000" w14:paraId="0000016E">
      <w:pPr>
        <w:spacing w:before="202" w:lineRule="auto"/>
        <w:ind w:left="874" w:right="0" w:firstLine="0"/>
        <w:jc w:val="left"/>
        <w:rPr>
          <w:b w:val="1"/>
          <w:sz w:val="24"/>
          <w:szCs w:val="24"/>
        </w:rPr>
      </w:pPr>
      <w:r w:rsidDel="00000000" w:rsidR="00000000" w:rsidRPr="00000000">
        <w:rPr>
          <w:b w:val="1"/>
          <w:sz w:val="24"/>
          <w:szCs w:val="24"/>
          <w:rtl w:val="0"/>
        </w:rPr>
        <w:t xml:space="preserve">Contract Reference Number:</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9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 w:line="240" w:lineRule="auto"/>
        <w:ind w:left="1594" w:right="10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7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2676"/>
        </w:tabs>
        <w:spacing w:after="0" w:before="202" w:line="237" w:lineRule="auto"/>
        <w:ind w:left="2676" w:right="53"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17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2676"/>
        </w:tabs>
        <w:spacing w:after="0" w:before="204" w:line="232" w:lineRule="auto"/>
        <w:ind w:left="2676" w:right="52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59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12"/>
        <w:tblW w:w="5018.0" w:type="dxa"/>
        <w:jc w:val="left"/>
        <w:tblInd w:w="2634.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369"/>
        <w:gridCol w:w="3649"/>
        <w:tblGridChange w:id="0">
          <w:tblGrid>
            <w:gridCol w:w="1369"/>
            <w:gridCol w:w="3649"/>
          </w:tblGrid>
        </w:tblGridChange>
      </w:tblGrid>
      <w:tr>
        <w:trPr>
          <w:cantSplit w:val="0"/>
          <w:trHeight w:val="1563" w:hRule="atLeast"/>
          <w:tblHeader w:val="0"/>
        </w:trPr>
        <w:tc>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15" w:lineRule="auto"/>
              <w:ind w:left="50" w:right="56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 Signed Date</w:t>
            </w:r>
          </w:p>
        </w:tc>
        <w:tc>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47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 w:line="240" w:lineRule="auto"/>
              <w:ind w:left="47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47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rHeight w:val="713" w:hRule="atLeast"/>
          <w:tblHeader w:val="0"/>
        </w:trPr>
        <w:tc>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r>
          </w:p>
        </w:tc>
        <w:tc>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7"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rHeight w:val="475" w:hRule="atLeast"/>
          <w:tblHeader w:val="0"/>
        </w:trPr>
        <w:tc>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 w:line="240" w:lineRule="auto"/>
              <w:ind w:left="5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r>
          </w:p>
        </w:tc>
        <w:tc>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 w:line="240" w:lineRule="auto"/>
              <w:ind w:left="0" w:right="47"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rHeight w:val="371" w:hRule="atLeast"/>
          <w:tblHeader w:val="0"/>
        </w:trPr>
        <w:tc>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 w:line="256" w:lineRule="auto"/>
              <w:ind w:left="5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 w:line="256" w:lineRule="auto"/>
              <w:ind w:left="0" w:right="47"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40" w:w="11910" w:orient="portrait"/>
      <w:pgMar w:bottom="1840" w:top="1340" w:left="566" w:right="1417" w:header="715" w:footer="15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533400</wp:posOffset>
              </wp:positionH>
              <wp:positionV relativeFrom="paragraph">
                <wp:posOffset>9499600</wp:posOffset>
              </wp:positionV>
              <wp:extent cx="1452245" cy="176530"/>
              <wp:effectExtent b="0" l="0" r="0" t="0"/>
              <wp:wrapNone/>
              <wp:docPr id="7" name=""/>
              <a:graphic>
                <a:graphicData uri="http://schemas.microsoft.com/office/word/2010/wordprocessingShape">
                  <wps:wsp>
                    <wps:cNvSpPr/>
                    <wps:cNvPr id="3" name="Shape 3"/>
                    <wps:spPr>
                      <a:xfrm>
                        <a:off x="4624640" y="3696498"/>
                        <a:ext cx="1442720" cy="167005"/>
                      </a:xfrm>
                      <a:prstGeom prst="rect">
                        <a:avLst/>
                      </a:prstGeom>
                      <a:noFill/>
                      <a:ln>
                        <a:noFill/>
                      </a:ln>
                    </wps:spPr>
                    <wps:txbx>
                      <w:txbxContent>
                        <w:p w:rsidR="00000000" w:rsidDel="00000000" w:rsidP="00000000" w:rsidRDefault="00000000" w:rsidRPr="00000000">
                          <w:pPr>
                            <w:spacing w:after="0" w:before="12.000000476837158" w:line="240"/>
                            <w:ind w:left="20" w:right="0" w:firstLine="2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Framework Ref: RM6288</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533400</wp:posOffset>
              </wp:positionH>
              <wp:positionV relativeFrom="paragraph">
                <wp:posOffset>9499600</wp:posOffset>
              </wp:positionV>
              <wp:extent cx="1452245" cy="176530"/>
              <wp:effectExtent b="0" l="0" r="0" t="0"/>
              <wp:wrapNone/>
              <wp:docPr id="7"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52245" cy="17653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6121400</wp:posOffset>
              </wp:positionH>
              <wp:positionV relativeFrom="paragraph">
                <wp:posOffset>9639300</wp:posOffset>
              </wp:positionV>
              <wp:extent cx="213360" cy="176530"/>
              <wp:effectExtent b="0" l="0" r="0" t="0"/>
              <wp:wrapNone/>
              <wp:docPr id="10" name=""/>
              <a:graphic>
                <a:graphicData uri="http://schemas.microsoft.com/office/word/2010/wordprocessingShape">
                  <wps:wsp>
                    <wps:cNvSpPr/>
                    <wps:cNvPr id="6" name="Shape 6"/>
                    <wps:spPr>
                      <a:xfrm>
                        <a:off x="5244083" y="3696498"/>
                        <a:ext cx="203835" cy="167005"/>
                      </a:xfrm>
                      <a:prstGeom prst="rect">
                        <a:avLst/>
                      </a:prstGeom>
                      <a:noFill/>
                      <a:ln>
                        <a:noFill/>
                      </a:ln>
                    </wps:spPr>
                    <wps:txbx>
                      <w:txbxContent>
                        <w:p w:rsidR="00000000" w:rsidDel="00000000" w:rsidP="00000000" w:rsidRDefault="00000000" w:rsidRPr="00000000">
                          <w:pPr>
                            <w:spacing w:after="0" w:before="12.000000476837158" w:line="240"/>
                            <w:ind w:left="20" w:right="0" w:firstLine="2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 PAGE 10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6121400</wp:posOffset>
              </wp:positionH>
              <wp:positionV relativeFrom="paragraph">
                <wp:posOffset>9639300</wp:posOffset>
              </wp:positionV>
              <wp:extent cx="213360" cy="176530"/>
              <wp:effectExtent b="0" l="0" r="0" t="0"/>
              <wp:wrapNone/>
              <wp:docPr id="10"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213360" cy="17653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533400</wp:posOffset>
              </wp:positionH>
              <wp:positionV relativeFrom="paragraph">
                <wp:posOffset>9791700</wp:posOffset>
              </wp:positionV>
              <wp:extent cx="1106805" cy="176530"/>
              <wp:effectExtent b="0" l="0" r="0" t="0"/>
              <wp:wrapNone/>
              <wp:docPr id="6" name=""/>
              <a:graphic>
                <a:graphicData uri="http://schemas.microsoft.com/office/word/2010/wordprocessingShape">
                  <wps:wsp>
                    <wps:cNvSpPr/>
                    <wps:cNvPr id="2" name="Shape 2"/>
                    <wps:spPr>
                      <a:xfrm>
                        <a:off x="4797360" y="3696498"/>
                        <a:ext cx="1097280" cy="167005"/>
                      </a:xfrm>
                      <a:prstGeom prst="rect">
                        <a:avLst/>
                      </a:prstGeom>
                      <a:noFill/>
                      <a:ln>
                        <a:noFill/>
                      </a:ln>
                    </wps:spPr>
                    <wps:txbx>
                      <w:txbxContent>
                        <w:p w:rsidR="00000000" w:rsidDel="00000000" w:rsidP="00000000" w:rsidRDefault="00000000" w:rsidRPr="00000000">
                          <w:pPr>
                            <w:spacing w:after="0" w:before="12.000000476837158" w:line="240"/>
                            <w:ind w:left="20" w:right="0" w:firstLine="2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Variation 1 Version</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533400</wp:posOffset>
              </wp:positionH>
              <wp:positionV relativeFrom="paragraph">
                <wp:posOffset>9791700</wp:posOffset>
              </wp:positionV>
              <wp:extent cx="1106805" cy="176530"/>
              <wp:effectExtent b="0" l="0" r="0" t="0"/>
              <wp:wrapNone/>
              <wp:docPr id="6"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106805" cy="17653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5562600</wp:posOffset>
              </wp:positionH>
              <wp:positionV relativeFrom="paragraph">
                <wp:posOffset>10071100</wp:posOffset>
              </wp:positionV>
              <wp:extent cx="736600" cy="175260"/>
              <wp:effectExtent b="0" l="0" r="0" t="0"/>
              <wp:wrapNone/>
              <wp:docPr id="9" name=""/>
              <a:graphic>
                <a:graphicData uri="http://schemas.microsoft.com/office/word/2010/wordprocessingShape">
                  <wps:wsp>
                    <wps:cNvSpPr/>
                    <wps:cNvPr id="5" name="Shape 5"/>
                    <wps:spPr>
                      <a:xfrm>
                        <a:off x="4982463" y="3697133"/>
                        <a:ext cx="727075" cy="165735"/>
                      </a:xfrm>
                      <a:prstGeom prst="rect">
                        <a:avLst/>
                      </a:prstGeom>
                      <a:noFill/>
                      <a:ln>
                        <a:noFill/>
                      </a:ln>
                    </wps:spPr>
                    <wps:txbx>
                      <w:txbxContent>
                        <w:p w:rsidR="00000000" w:rsidDel="00000000" w:rsidP="00000000" w:rsidRDefault="00000000" w:rsidRPr="00000000">
                          <w:pPr>
                            <w:spacing w:after="0" w:before="0" w:line="245.00000953674316"/>
                            <w:ind w:left="20" w:right="0" w:firstLine="2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68380646v1</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5562600</wp:posOffset>
              </wp:positionH>
              <wp:positionV relativeFrom="paragraph">
                <wp:posOffset>10071100</wp:posOffset>
              </wp:positionV>
              <wp:extent cx="736600" cy="175260"/>
              <wp:effectExtent b="0" l="0" r="0" t="0"/>
              <wp:wrapNone/>
              <wp:docPr id="9"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36600" cy="17526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897241</wp:posOffset>
              </wp:positionH>
              <wp:positionV relativeFrom="page">
                <wp:posOffset>436479</wp:posOffset>
              </wp:positionV>
              <wp:extent cx="2396490" cy="322580"/>
              <wp:effectExtent b="0" l="0" r="0" t="0"/>
              <wp:wrapNone/>
              <wp:docPr id="8" name=""/>
              <a:graphic>
                <a:graphicData uri="http://schemas.microsoft.com/office/word/2010/wordprocessingShape">
                  <wps:wsp>
                    <wps:cNvSpPr/>
                    <wps:cNvPr id="4" name="Shape 4"/>
                    <wps:spPr>
                      <a:xfrm>
                        <a:off x="4152518" y="3623473"/>
                        <a:ext cx="2386965" cy="313055"/>
                      </a:xfrm>
                      <a:prstGeom prst="rect">
                        <a:avLst/>
                      </a:prstGeom>
                      <a:noFill/>
                      <a:ln>
                        <a:noFill/>
                      </a:ln>
                    </wps:spPr>
                    <wps:txbx>
                      <w:txbxContent>
                        <w:p w:rsidR="00000000" w:rsidDel="00000000" w:rsidP="00000000" w:rsidRDefault="00000000" w:rsidRPr="00000000">
                          <w:pPr>
                            <w:spacing w:after="0" w:before="12.000000476837158" w:line="240"/>
                            <w:ind w:left="20" w:right="0" w:firstLine="20"/>
                            <w:jc w:val="left"/>
                            <w:textDirection w:val="btLr"/>
                          </w:pPr>
                          <w:r w:rsidDel="00000000" w:rsidR="00000000" w:rsidRPr="00000000">
                            <w:rPr>
                              <w:rFonts w:ascii="Arial" w:cs="Arial" w:eastAsia="Arial" w:hAnsi="Arial"/>
                              <w:b w:val="1"/>
                              <w:i w:val="0"/>
                              <w:smallCaps w:val="0"/>
                              <w:strike w:val="0"/>
                              <w:color w:val="000000"/>
                              <w:sz w:val="20"/>
                              <w:vertAlign w:val="baseline"/>
                            </w:rPr>
                            <w:t xml:space="preserve">Joint Schedule 7 (Financial Difficulties)</w:t>
                          </w:r>
                        </w:p>
                        <w:p w:rsidR="00000000" w:rsidDel="00000000" w:rsidP="00000000" w:rsidRDefault="00000000" w:rsidRPr="00000000">
                          <w:pPr>
                            <w:spacing w:after="0" w:before="1.0000000149011612" w:line="240"/>
                            <w:ind w:left="20" w:right="0" w:firstLine="20"/>
                            <w:jc w:val="left"/>
                            <w:textDirection w:val="btLr"/>
                          </w:pPr>
                          <w:r w:rsidDel="00000000" w:rsidR="00000000" w:rsidRPr="00000000">
                            <w:rPr>
                              <w:rFonts w:ascii="Arial" w:cs="Arial" w:eastAsia="Arial" w:hAnsi="Arial"/>
                              <w:b w:val="1"/>
                              <w:i w:val="0"/>
                              <w:smallCaps w:val="0"/>
                              <w:strike w:val="0"/>
                              <w:color w:val="000000"/>
                              <w:sz w:val="20"/>
                              <w:vertAlign w:val="baseline"/>
                            </w:rPr>
                          </w:r>
                          <w:r w:rsidDel="00000000" w:rsidR="00000000" w:rsidRPr="00000000">
                            <w:rPr>
                              <w:rFonts w:ascii="Arial" w:cs="Arial" w:eastAsia="Arial" w:hAnsi="Arial"/>
                              <w:b w:val="0"/>
                              <w:i w:val="0"/>
                              <w:smallCaps w:val="0"/>
                              <w:strike w:val="0"/>
                              <w:color w:val="000000"/>
                              <w:sz w:val="20"/>
                              <w:vertAlign w:val="baseline"/>
                            </w:rPr>
                            <w:t xml:space="preserve">Crown Copyright 2024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897241</wp:posOffset>
              </wp:positionH>
              <wp:positionV relativeFrom="page">
                <wp:posOffset>436479</wp:posOffset>
              </wp:positionV>
              <wp:extent cx="2396490" cy="322580"/>
              <wp:effectExtent b="0" l="0" r="0" t="0"/>
              <wp:wrapNone/>
              <wp:docPr id="8"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2396490" cy="32258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594" w:hanging="720"/>
      </w:pPr>
      <w:rPr>
        <w:rFonts w:ascii="Arial" w:cs="Arial" w:eastAsia="Arial" w:hAnsi="Arial"/>
        <w:b w:val="0"/>
        <w:i w:val="0"/>
        <w:sz w:val="24"/>
        <w:szCs w:val="24"/>
      </w:rPr>
    </w:lvl>
    <w:lvl w:ilvl="1">
      <w:start w:val="1"/>
      <w:numFmt w:val="lowerLetter"/>
      <w:lvlText w:val="(%2)"/>
      <w:lvlJc w:val="left"/>
      <w:pPr>
        <w:ind w:left="2676" w:hanging="1083"/>
      </w:pPr>
      <w:rPr>
        <w:rFonts w:ascii="Calibri" w:cs="Calibri" w:eastAsia="Calibri" w:hAnsi="Calibri"/>
        <w:b w:val="0"/>
        <w:i w:val="0"/>
        <w:sz w:val="22"/>
        <w:szCs w:val="22"/>
      </w:rPr>
    </w:lvl>
    <w:lvl w:ilvl="2">
      <w:start w:val="0"/>
      <w:numFmt w:val="bullet"/>
      <w:lvlText w:val="•"/>
      <w:lvlJc w:val="left"/>
      <w:pPr>
        <w:ind w:left="3484" w:hanging="1083.0000000000005"/>
      </w:pPr>
      <w:rPr/>
    </w:lvl>
    <w:lvl w:ilvl="3">
      <w:start w:val="0"/>
      <w:numFmt w:val="bullet"/>
      <w:lvlText w:val="•"/>
      <w:lvlJc w:val="left"/>
      <w:pPr>
        <w:ind w:left="4289" w:hanging="1083.0000000000005"/>
      </w:pPr>
      <w:rPr/>
    </w:lvl>
    <w:lvl w:ilvl="4">
      <w:start w:val="0"/>
      <w:numFmt w:val="bullet"/>
      <w:lvlText w:val="•"/>
      <w:lvlJc w:val="left"/>
      <w:pPr>
        <w:ind w:left="5094" w:hanging="1083.0000000000005"/>
      </w:pPr>
      <w:rPr/>
    </w:lvl>
    <w:lvl w:ilvl="5">
      <w:start w:val="0"/>
      <w:numFmt w:val="bullet"/>
      <w:lvlText w:val="•"/>
      <w:lvlJc w:val="left"/>
      <w:pPr>
        <w:ind w:left="5899" w:hanging="1083"/>
      </w:pPr>
      <w:rPr/>
    </w:lvl>
    <w:lvl w:ilvl="6">
      <w:start w:val="0"/>
      <w:numFmt w:val="bullet"/>
      <w:lvlText w:val="•"/>
      <w:lvlJc w:val="left"/>
      <w:pPr>
        <w:ind w:left="6704" w:hanging="1083"/>
      </w:pPr>
      <w:rPr/>
    </w:lvl>
    <w:lvl w:ilvl="7">
      <w:start w:val="0"/>
      <w:numFmt w:val="bullet"/>
      <w:lvlText w:val="•"/>
      <w:lvlJc w:val="left"/>
      <w:pPr>
        <w:ind w:left="7508" w:hanging="1083"/>
      </w:pPr>
      <w:rPr/>
    </w:lvl>
    <w:lvl w:ilvl="8">
      <w:start w:val="0"/>
      <w:numFmt w:val="bullet"/>
      <w:lvlText w:val="•"/>
      <w:lvlJc w:val="left"/>
      <w:pPr>
        <w:ind w:left="8313" w:hanging="1083"/>
      </w:pPr>
      <w:rPr/>
    </w:lvl>
  </w:abstractNum>
  <w:abstractNum w:abstractNumId="2">
    <w:lvl w:ilvl="0">
      <w:start w:val="0"/>
      <w:numFmt w:val="bullet"/>
      <w:lvlText w:val="●"/>
      <w:lvlJc w:val="left"/>
      <w:pPr>
        <w:ind w:left="1594" w:hanging="360"/>
      </w:pPr>
      <w:rPr>
        <w:rFonts w:ascii="Calibri" w:cs="Calibri" w:eastAsia="Calibri" w:hAnsi="Calibri"/>
        <w:b w:val="0"/>
        <w:i w:val="0"/>
        <w:sz w:val="22"/>
        <w:szCs w:val="22"/>
      </w:rPr>
    </w:lvl>
    <w:lvl w:ilvl="1">
      <w:start w:val="0"/>
      <w:numFmt w:val="bullet"/>
      <w:lvlText w:val="•"/>
      <w:lvlJc w:val="left"/>
      <w:pPr>
        <w:ind w:left="2432" w:hanging="360"/>
      </w:pPr>
      <w:rPr/>
    </w:lvl>
    <w:lvl w:ilvl="2">
      <w:start w:val="0"/>
      <w:numFmt w:val="bullet"/>
      <w:lvlText w:val="•"/>
      <w:lvlJc w:val="left"/>
      <w:pPr>
        <w:ind w:left="3264" w:hanging="360"/>
      </w:pPr>
      <w:rPr/>
    </w:lvl>
    <w:lvl w:ilvl="3">
      <w:start w:val="0"/>
      <w:numFmt w:val="bullet"/>
      <w:lvlText w:val="•"/>
      <w:lvlJc w:val="left"/>
      <w:pPr>
        <w:ind w:left="4097" w:hanging="360"/>
      </w:pPr>
      <w:rPr/>
    </w:lvl>
    <w:lvl w:ilvl="4">
      <w:start w:val="0"/>
      <w:numFmt w:val="bullet"/>
      <w:lvlText w:val="•"/>
      <w:lvlJc w:val="left"/>
      <w:pPr>
        <w:ind w:left="4929" w:hanging="360"/>
      </w:pPr>
      <w:rPr/>
    </w:lvl>
    <w:lvl w:ilvl="5">
      <w:start w:val="0"/>
      <w:numFmt w:val="bullet"/>
      <w:lvlText w:val="•"/>
      <w:lvlJc w:val="left"/>
      <w:pPr>
        <w:ind w:left="5761" w:hanging="360"/>
      </w:pPr>
      <w:rPr/>
    </w:lvl>
    <w:lvl w:ilvl="6">
      <w:start w:val="0"/>
      <w:numFmt w:val="bullet"/>
      <w:lvlText w:val="•"/>
      <w:lvlJc w:val="left"/>
      <w:pPr>
        <w:ind w:left="6594" w:hanging="360"/>
      </w:pPr>
      <w:rPr/>
    </w:lvl>
    <w:lvl w:ilvl="7">
      <w:start w:val="0"/>
      <w:numFmt w:val="bullet"/>
      <w:lvlText w:val="•"/>
      <w:lvlJc w:val="left"/>
      <w:pPr>
        <w:ind w:left="7426" w:hanging="360"/>
      </w:pPr>
      <w:rPr/>
    </w:lvl>
    <w:lvl w:ilvl="8">
      <w:start w:val="0"/>
      <w:numFmt w:val="bullet"/>
      <w:lvlText w:val="•"/>
      <w:lvlJc w:val="left"/>
      <w:pPr>
        <w:ind w:left="8258" w:hanging="360"/>
      </w:pPr>
      <w:rPr/>
    </w:lvl>
  </w:abstractNum>
  <w:abstractNum w:abstractNumId="3">
    <w:lvl w:ilvl="0">
      <w:start w:val="1"/>
      <w:numFmt w:val="decimal"/>
      <w:lvlText w:val="%1."/>
      <w:lvlJc w:val="left"/>
      <w:pPr>
        <w:ind w:left="1234" w:hanging="360"/>
      </w:pPr>
      <w:rPr>
        <w:rFonts w:ascii="Arial" w:cs="Arial" w:eastAsia="Arial" w:hAnsi="Arial"/>
        <w:b w:val="1"/>
        <w:i w:val="0"/>
        <w:sz w:val="24"/>
        <w:szCs w:val="24"/>
      </w:rPr>
    </w:lvl>
    <w:lvl w:ilvl="1">
      <w:start w:val="1"/>
      <w:numFmt w:val="decimal"/>
      <w:lvlText w:val="%1.%2"/>
      <w:lvlJc w:val="left"/>
      <w:pPr>
        <w:ind w:left="1810" w:hanging="576"/>
      </w:pPr>
      <w:rPr>
        <w:rFonts w:ascii="Arial" w:cs="Arial" w:eastAsia="Arial" w:hAnsi="Arial"/>
        <w:b w:val="0"/>
        <w:i w:val="0"/>
        <w:sz w:val="24"/>
        <w:szCs w:val="24"/>
      </w:rPr>
    </w:lvl>
    <w:lvl w:ilvl="2">
      <w:start w:val="1"/>
      <w:numFmt w:val="decimal"/>
      <w:lvlText w:val="%1.%2.%3"/>
      <w:lvlJc w:val="left"/>
      <w:pPr>
        <w:ind w:left="2859" w:hanging="992"/>
      </w:pPr>
      <w:rPr>
        <w:rFonts w:ascii="Arial" w:cs="Arial" w:eastAsia="Arial" w:hAnsi="Arial"/>
        <w:b w:val="0"/>
        <w:i w:val="0"/>
        <w:sz w:val="24"/>
        <w:szCs w:val="24"/>
      </w:rPr>
    </w:lvl>
    <w:lvl w:ilvl="3">
      <w:start w:val="1"/>
      <w:numFmt w:val="lowerLetter"/>
      <w:lvlText w:val="(%4)"/>
      <w:lvlJc w:val="left"/>
      <w:pPr>
        <w:ind w:left="4278" w:hanging="720"/>
      </w:pPr>
      <w:rPr>
        <w:rFonts w:ascii="Arial" w:cs="Arial" w:eastAsia="Arial" w:hAnsi="Arial"/>
        <w:b w:val="0"/>
        <w:i w:val="0"/>
        <w:sz w:val="24"/>
        <w:szCs w:val="24"/>
      </w:rPr>
    </w:lvl>
    <w:lvl w:ilvl="4">
      <w:start w:val="0"/>
      <w:numFmt w:val="bullet"/>
      <w:lvlText w:val="•"/>
      <w:lvlJc w:val="left"/>
      <w:pPr>
        <w:ind w:left="5086" w:hanging="720"/>
      </w:pPr>
      <w:rPr/>
    </w:lvl>
    <w:lvl w:ilvl="5">
      <w:start w:val="0"/>
      <w:numFmt w:val="bullet"/>
      <w:lvlText w:val="•"/>
      <w:lvlJc w:val="left"/>
      <w:pPr>
        <w:ind w:left="5892" w:hanging="720"/>
      </w:pPr>
      <w:rPr/>
    </w:lvl>
    <w:lvl w:ilvl="6">
      <w:start w:val="0"/>
      <w:numFmt w:val="bullet"/>
      <w:lvlText w:val="•"/>
      <w:lvlJc w:val="left"/>
      <w:pPr>
        <w:ind w:left="6698" w:hanging="720"/>
      </w:pPr>
      <w:rPr/>
    </w:lvl>
    <w:lvl w:ilvl="7">
      <w:start w:val="0"/>
      <w:numFmt w:val="bullet"/>
      <w:lvlText w:val="•"/>
      <w:lvlJc w:val="left"/>
      <w:pPr>
        <w:ind w:left="7504" w:hanging="720"/>
      </w:pPr>
      <w:rPr/>
    </w:lvl>
    <w:lvl w:ilvl="8">
      <w:start w:val="0"/>
      <w:numFmt w:val="bullet"/>
      <w:lvlText w:val="•"/>
      <w:lvlJc w:val="left"/>
      <w:pPr>
        <w:ind w:left="8311" w:hanging="72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ind w:left="874" w:hanging="358"/>
    </w:pPr>
    <w:rPr>
      <w:rFonts w:ascii="Arial" w:cs="Arial" w:eastAsia="Arial" w:hAnsi="Arial"/>
      <w:b w:val="1"/>
      <w:sz w:val="24"/>
      <w:szCs w:val="2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ind w:left="874"/>
    </w:pPr>
    <w:rPr>
      <w:rFonts w:ascii="Arial" w:cs="Arial" w:eastAsia="Arial" w:hAnsi="Arial"/>
      <w:b w:val="1"/>
      <w:sz w:val="36"/>
      <w:szCs w:val="36"/>
    </w:rPr>
  </w:style>
  <w:style w:type="character" w:styleId="DefaultParagraphFont" w:default="1">
    <w:name w:val="Default Paragraph Font"/>
    <w:uiPriority w:val="1"/>
    <w:semiHidden w:val="1"/>
    <w:unhideWhenUsed w:val="1"/>
  </w:style>
  <w:style w:type="table" w:styleId="TableNormal" w:default="1">
    <w:name w:val="Table Normal"/>
    <w:uiPriority w:val="2"/>
    <w:semiHidden w:val="1"/>
    <w:unhideWhenUsed w:val="1"/>
    <w:qFormat w:val="1"/>
    <w:tblPr>
      <w:tblInd w:w="0.0" w:type="dxa"/>
      <w:tblCellMar>
        <w:top w:w="0.0" w:type="dxa"/>
        <w:left w:w="0.0" w:type="dxa"/>
        <w:bottom w:w="0.0" w:type="dxa"/>
        <w:right w:w="0.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spacing w:before="120"/>
    </w:pPr>
    <w:rPr>
      <w:rFonts w:ascii="Arial" w:cs="Arial" w:eastAsia="Arial" w:hAnsi="Arial"/>
      <w:sz w:val="24"/>
      <w:szCs w:val="24"/>
      <w:lang w:bidi="ar-SA" w:eastAsia="en-US" w:val="en-US"/>
    </w:rPr>
  </w:style>
  <w:style w:type="paragraph" w:styleId="ListParagraph">
    <w:name w:val="List Paragraph"/>
    <w:basedOn w:val="Normal"/>
    <w:uiPriority w:val="1"/>
    <w:qFormat w:val="1"/>
    <w:pPr>
      <w:spacing w:before="120"/>
      <w:ind w:left="2859" w:hanging="992"/>
      <w:jc w:val="both"/>
    </w:pPr>
    <w:rPr>
      <w:rFonts w:ascii="Arial" w:cs="Arial" w:eastAsia="Arial" w:hAnsi="Arial"/>
      <w:lang w:bidi="ar-SA" w:eastAsia="en-US" w:val="en-US"/>
    </w:rPr>
  </w:style>
  <w:style w:type="paragraph" w:styleId="TableParagraph">
    <w:name w:val="Table Paragraph"/>
    <w:basedOn w:val="Normal"/>
    <w:uiPriority w:val="1"/>
    <w:qFormat w:val="1"/>
    <w:pPr/>
    <w:rPr>
      <w:rFonts w:ascii="Arial" w:cs="Arial" w:eastAsia="Arial" w:hAnsi="Arial"/>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gov.uk/government/publications/strategic-suppliers" TargetMode="External"/><Relationship Id="rId10" Type="http://schemas.openxmlformats.org/officeDocument/2006/relationships/hyperlink" Target="https://www.gov.uk/government/publications/strategic-suppliers" TargetMode="External"/><Relationship Id="rId12" Type="http://schemas.openxmlformats.org/officeDocument/2006/relationships/hyperlink" Target="https://www.dnb.co.uk/about-us/our-analytics/predictors-scores-ratings/scores-ratings.html" TargetMode="External"/><Relationship Id="rId9" Type="http://schemas.openxmlformats.org/officeDocument/2006/relationships/hyperlink" Target="https://www.gov.uk/government/publications/strategic-suppliers"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3yCsqvz3dD7kQpucEuvv+yBW/g==">CgMxLjA4AHIhMWgzblYwa3JMOVQxTVdaY2Z5MmFpRjlGSkppWHFpSVQw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2025-07-03T13:57:10Z</dcterms:created>
  <dc:creator>Megan James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ActionId">
    <vt:lpwstr>9e712cc8-00db-4360-9be5-eeb930054446</vt:lpwstr>
  </property>
  <property fmtid="{D5CDD505-2E9C-101B-9397-08002B2CF9AE}" pid="6" name="MSIP_Label_b85ac209-13ab-4601-a65f-e07a1b161438_ContentBits">
    <vt:lpwstr>0</vt:lpwstr>
  </property>
  <property fmtid="{D5CDD505-2E9C-101B-9397-08002B2CF9AE}" pid="7" name="MSIP_Label_b85ac209-13ab-4601-a65f-e07a1b161438_Enabled">
    <vt:lpwstr>true</vt:lpwstr>
  </property>
  <property fmtid="{D5CDD505-2E9C-101B-9397-08002B2CF9AE}" pid="8" name="MSIP_Label_b85ac209-13ab-4601-a65f-e07a1b161438_Method">
    <vt:lpwstr>Standard</vt:lpwstr>
  </property>
  <property fmtid="{D5CDD505-2E9C-101B-9397-08002B2CF9AE}" pid="9" name="MSIP_Label_b85ac209-13ab-4601-a65f-e07a1b161438_SiteId">
    <vt:lpwstr>cd6282b3-8a1b-40f0-9992-593dec57dd10</vt:lpwstr>
  </property>
  <property fmtid="{D5CDD505-2E9C-101B-9397-08002B2CF9AE}" pid="10" name="Producer">
    <vt:lpwstr>Microsoft® Word for Microsoft 365</vt:lpwstr>
  </property>
</Properties>
</file>